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86E05" w14:textId="2B2E6B71" w:rsidR="00F709AC" w:rsidRDefault="00B06AE7" w:rsidP="00F709AC">
      <w:pPr>
        <w:spacing w:line="276" w:lineRule="auto"/>
        <w:ind w:left="-113" w:right="-57"/>
        <w:jc w:val="both"/>
        <w:rPr>
          <w:sz w:val="22"/>
          <w:szCs w:val="22"/>
          <w:lang w:val="sr-Latn-RS"/>
        </w:rPr>
      </w:pPr>
      <w:r w:rsidRPr="007621F0">
        <w:rPr>
          <w:noProof/>
          <w:sz w:val="22"/>
          <w:szCs w:val="22"/>
          <w:lang w:val="sr-Cyrl-RS"/>
        </w:rPr>
        <w:t xml:space="preserve">На основу </w:t>
      </w:r>
      <w:r w:rsidR="00F709AC">
        <w:rPr>
          <w:noProof/>
          <w:sz w:val="22"/>
          <w:szCs w:val="22"/>
          <w:lang w:val="sr-Cyrl-RS"/>
        </w:rPr>
        <w:t>Решења</w:t>
      </w:r>
      <w:r w:rsidR="002F2F8F" w:rsidRPr="007621F0">
        <w:rPr>
          <w:noProof/>
          <w:sz w:val="22"/>
          <w:szCs w:val="22"/>
          <w:lang w:val="sr-Cyrl-RS"/>
        </w:rPr>
        <w:t xml:space="preserve"> </w:t>
      </w:r>
      <w:r w:rsidR="0009314C">
        <w:rPr>
          <w:noProof/>
          <w:sz w:val="22"/>
          <w:szCs w:val="22"/>
          <w:lang w:val="sr-Cyrl-RS"/>
        </w:rPr>
        <w:t xml:space="preserve">о банкротству </w:t>
      </w:r>
      <w:r w:rsidRPr="007621F0">
        <w:rPr>
          <w:noProof/>
          <w:sz w:val="22"/>
          <w:szCs w:val="22"/>
          <w:lang w:val="sr-Cyrl-RS"/>
        </w:rPr>
        <w:t xml:space="preserve">Привредног суда </w:t>
      </w:r>
      <w:r w:rsidR="00B75E96" w:rsidRPr="007621F0">
        <w:rPr>
          <w:noProof/>
          <w:sz w:val="22"/>
          <w:szCs w:val="22"/>
          <w:lang w:val="sr-Cyrl-RS"/>
        </w:rPr>
        <w:t>у Панчеву</w:t>
      </w:r>
      <w:r w:rsidR="002F2F8F" w:rsidRPr="007621F0">
        <w:rPr>
          <w:noProof/>
          <w:sz w:val="22"/>
          <w:szCs w:val="22"/>
          <w:lang w:val="sr-Cyrl-RS"/>
        </w:rPr>
        <w:t>, посл. бр.</w:t>
      </w:r>
      <w:r w:rsidR="00B75E96" w:rsidRPr="007621F0">
        <w:rPr>
          <w:noProof/>
          <w:sz w:val="22"/>
          <w:szCs w:val="22"/>
          <w:lang w:val="sr-Cyrl-RS"/>
        </w:rPr>
        <w:t xml:space="preserve"> </w:t>
      </w:r>
      <w:r w:rsidR="002F2F8F" w:rsidRPr="007621F0">
        <w:rPr>
          <w:noProof/>
          <w:sz w:val="22"/>
          <w:szCs w:val="22"/>
          <w:lang w:val="sr-Cyrl-RS"/>
        </w:rPr>
        <w:t xml:space="preserve">Ст. </w:t>
      </w:r>
      <w:r w:rsidR="006C1DD0">
        <w:rPr>
          <w:noProof/>
          <w:sz w:val="22"/>
          <w:szCs w:val="22"/>
          <w:lang w:val="sr-Cyrl-RS"/>
        </w:rPr>
        <w:t>40</w:t>
      </w:r>
      <w:r w:rsidR="00F709AC">
        <w:rPr>
          <w:noProof/>
          <w:sz w:val="22"/>
          <w:szCs w:val="22"/>
          <w:lang w:val="sr-Cyrl-RS"/>
        </w:rPr>
        <w:t>/2010 од 07.09</w:t>
      </w:r>
      <w:r w:rsidR="00B75E96" w:rsidRPr="007621F0">
        <w:rPr>
          <w:noProof/>
          <w:sz w:val="22"/>
          <w:szCs w:val="22"/>
          <w:lang w:val="sr-Cyrl-RS"/>
        </w:rPr>
        <w:t>.2010</w:t>
      </w:r>
      <w:r w:rsidRPr="007621F0">
        <w:rPr>
          <w:noProof/>
          <w:sz w:val="22"/>
          <w:szCs w:val="22"/>
          <w:lang w:val="sr-Cyrl-RS"/>
        </w:rPr>
        <w:t xml:space="preserve">. године, </w:t>
      </w:r>
      <w:r w:rsidR="00F709AC" w:rsidRPr="00846334">
        <w:rPr>
          <w:sz w:val="22"/>
          <w:szCs w:val="22"/>
          <w:lang w:val="sr-Cyrl-CS"/>
        </w:rPr>
        <w:t>а у складу са члан</w:t>
      </w:r>
      <w:r w:rsidR="00F709AC" w:rsidRPr="00846334">
        <w:rPr>
          <w:sz w:val="22"/>
          <w:szCs w:val="22"/>
        </w:rPr>
        <w:t>o</w:t>
      </w:r>
      <w:r w:rsidR="00F709AC" w:rsidRPr="00846334">
        <w:rPr>
          <w:sz w:val="22"/>
          <w:szCs w:val="22"/>
          <w:lang w:val="sr-Cyrl-CS"/>
        </w:rPr>
        <w:t xml:space="preserve">вима 131, </w:t>
      </w:r>
      <w:r w:rsidR="00F709AC" w:rsidRPr="00846334">
        <w:rPr>
          <w:sz w:val="22"/>
          <w:szCs w:val="22"/>
          <w:lang w:val="ru-RU"/>
        </w:rPr>
        <w:t xml:space="preserve">132, </w:t>
      </w:r>
      <w:r w:rsidR="00D44956">
        <w:rPr>
          <w:sz w:val="22"/>
          <w:szCs w:val="22"/>
          <w:lang w:val="sr-Cyrl-CS"/>
        </w:rPr>
        <w:t xml:space="preserve">133 </w:t>
      </w:r>
      <w:r w:rsidR="00F709AC" w:rsidRPr="00846334">
        <w:rPr>
          <w:sz w:val="22"/>
          <w:szCs w:val="22"/>
          <w:lang w:val="sr-Cyrl-CS"/>
        </w:rPr>
        <w:t>Закона о стечају (</w:t>
      </w:r>
      <w:r w:rsidR="00F709AC">
        <w:rPr>
          <w:sz w:val="22"/>
          <w:szCs w:val="22"/>
          <w:lang w:val="sr-Cyrl-CS"/>
        </w:rPr>
        <w:t>„</w:t>
      </w:r>
      <w:r w:rsidR="00F709AC" w:rsidRPr="00846334">
        <w:rPr>
          <w:i/>
          <w:sz w:val="22"/>
          <w:szCs w:val="22"/>
          <w:lang w:val="sr-Cyrl-CS"/>
        </w:rPr>
        <w:t xml:space="preserve">Службени гласник </w:t>
      </w:r>
      <w:r w:rsidR="00F709AC" w:rsidRPr="00846334">
        <w:rPr>
          <w:i/>
          <w:sz w:val="22"/>
          <w:szCs w:val="22"/>
        </w:rPr>
        <w:t>Р</w:t>
      </w:r>
      <w:r w:rsidR="00F709AC">
        <w:rPr>
          <w:i/>
          <w:sz w:val="22"/>
          <w:szCs w:val="22"/>
          <w:lang w:val="sr-Cyrl-CS"/>
        </w:rPr>
        <w:t>С“</w:t>
      </w:r>
      <w:r w:rsidR="00F709AC" w:rsidRPr="00846334">
        <w:rPr>
          <w:i/>
          <w:sz w:val="22"/>
          <w:szCs w:val="22"/>
          <w:lang w:val="sr-Cyrl-CS"/>
        </w:rPr>
        <w:t xml:space="preserve"> број 104/2009)</w:t>
      </w:r>
      <w:r w:rsidR="00F709AC" w:rsidRPr="00846334">
        <w:rPr>
          <w:sz w:val="22"/>
          <w:szCs w:val="22"/>
          <w:lang w:val="sr-Cyrl-CS"/>
        </w:rPr>
        <w:t>, Националним стандардом број 5 – Националним стандардом о начину и поступку уновчења имовине стечајног дужника (</w:t>
      </w:r>
      <w:r w:rsidR="00F709AC">
        <w:rPr>
          <w:sz w:val="22"/>
          <w:szCs w:val="22"/>
          <w:lang w:val="sr-Cyrl-CS"/>
        </w:rPr>
        <w:t>„</w:t>
      </w:r>
      <w:r w:rsidR="00F709AC">
        <w:rPr>
          <w:i/>
          <w:sz w:val="22"/>
          <w:szCs w:val="22"/>
          <w:lang w:val="sr-Cyrl-CS"/>
        </w:rPr>
        <w:t>Службени гласник РС“</w:t>
      </w:r>
      <w:r w:rsidR="00F709AC" w:rsidRPr="00846334">
        <w:rPr>
          <w:i/>
          <w:sz w:val="22"/>
          <w:szCs w:val="22"/>
          <w:lang w:val="sr-Cyrl-CS"/>
        </w:rPr>
        <w:t xml:space="preserve"> број 13/2010</w:t>
      </w:r>
      <w:r w:rsidR="00F709AC">
        <w:rPr>
          <w:sz w:val="22"/>
          <w:szCs w:val="22"/>
          <w:lang w:val="sr-Cyrl-CS"/>
        </w:rPr>
        <w:t xml:space="preserve">), </w:t>
      </w:r>
      <w:r w:rsidR="004748CD">
        <w:rPr>
          <w:sz w:val="22"/>
          <w:szCs w:val="22"/>
          <w:lang w:val="sr-Cyrl-CS"/>
        </w:rPr>
        <w:t>као и</w:t>
      </w:r>
      <w:r w:rsidR="00F709AC" w:rsidRPr="00846334">
        <w:rPr>
          <w:sz w:val="22"/>
          <w:szCs w:val="22"/>
          <w:lang w:val="sr-Cyrl-CS"/>
        </w:rPr>
        <w:t xml:space="preserve"> одредбама Закона о изменама и допунама Закона о Агенцији за лиценцирање стечајних управника («Службени гласник РС</w:t>
      </w:r>
      <w:r w:rsidR="00F709AC" w:rsidRPr="00846334">
        <w:rPr>
          <w:i/>
          <w:sz w:val="22"/>
          <w:szCs w:val="22"/>
          <w:lang w:val="sr-Cyrl-CS"/>
        </w:rPr>
        <w:t>»</w:t>
      </w:r>
      <w:r w:rsidR="00F709AC" w:rsidRPr="00846334">
        <w:rPr>
          <w:sz w:val="22"/>
          <w:szCs w:val="22"/>
          <w:lang w:val="sr-Cyrl-CS"/>
        </w:rPr>
        <w:t xml:space="preserve">, бр. 89/2015), Агенција за лиценцирање стечајних </w:t>
      </w:r>
      <w:r w:rsidR="00F709AC">
        <w:rPr>
          <w:sz w:val="22"/>
          <w:szCs w:val="22"/>
          <w:lang w:val="sr-Cyrl-CS"/>
        </w:rPr>
        <w:t>управника као стечајни управник стечајног дужника</w:t>
      </w:r>
      <w:r w:rsidR="007F3D11">
        <w:rPr>
          <w:sz w:val="22"/>
          <w:szCs w:val="22"/>
          <w:lang w:val="sr-Latn-RS"/>
        </w:rPr>
        <w:t>:</w:t>
      </w:r>
    </w:p>
    <w:p w14:paraId="1DCB82DD" w14:textId="77777777" w:rsidR="00D44956" w:rsidRPr="007F3D11" w:rsidRDefault="00D44956" w:rsidP="00F709AC">
      <w:pPr>
        <w:spacing w:line="276" w:lineRule="auto"/>
        <w:ind w:left="-113" w:right="-57"/>
        <w:jc w:val="both"/>
        <w:rPr>
          <w:sz w:val="22"/>
          <w:szCs w:val="22"/>
          <w:lang w:val="sr-Latn-RS"/>
        </w:rPr>
      </w:pPr>
    </w:p>
    <w:p w14:paraId="7A43A6C5" w14:textId="77777777" w:rsidR="00F709AC" w:rsidRPr="003A68B7" w:rsidRDefault="00F709AC" w:rsidP="001857C6">
      <w:pPr>
        <w:jc w:val="center"/>
        <w:rPr>
          <w:rFonts w:eastAsia="HiddenHorzOCR"/>
          <w:b/>
          <w:noProof/>
          <w:lang w:val="sr-Latn-RS"/>
        </w:rPr>
      </w:pPr>
      <w:r w:rsidRPr="003A68B7">
        <w:rPr>
          <w:rFonts w:eastAsia="HiddenHorzOCR"/>
          <w:b/>
          <w:noProof/>
          <w:lang w:val="sr-Latn-RS"/>
        </w:rPr>
        <w:t xml:space="preserve">DP za poljoprivrednu proizvodnju </w:t>
      </w:r>
    </w:p>
    <w:p w14:paraId="323C993A" w14:textId="313A8C24" w:rsidR="00F709AC" w:rsidRPr="003A68B7" w:rsidRDefault="00F709AC" w:rsidP="001857C6">
      <w:pPr>
        <w:jc w:val="center"/>
        <w:rPr>
          <w:rFonts w:eastAsia="HiddenHorzOCR"/>
          <w:noProof/>
          <w:lang w:val="sr-Cyrl-RS"/>
        </w:rPr>
      </w:pPr>
      <w:r w:rsidRPr="003A68B7">
        <w:rPr>
          <w:rFonts w:eastAsia="HiddenHorzOCR"/>
          <w:b/>
          <w:noProof/>
          <w:lang w:val="sr-Latn-RS"/>
        </w:rPr>
        <w:t>VIRT po Vršac – u stečaju</w:t>
      </w:r>
      <w:r w:rsidRPr="003A68B7">
        <w:rPr>
          <w:rFonts w:eastAsia="HiddenHorzOCR"/>
          <w:noProof/>
          <w:lang w:val="sr-Cyrl-RS"/>
        </w:rPr>
        <w:t xml:space="preserve"> </w:t>
      </w:r>
    </w:p>
    <w:p w14:paraId="174CF2B2" w14:textId="77777777" w:rsidR="00F709AC" w:rsidRPr="003A68B7" w:rsidRDefault="00F709AC" w:rsidP="001857C6">
      <w:pPr>
        <w:jc w:val="center"/>
        <w:rPr>
          <w:b/>
          <w:noProof/>
          <w:sz w:val="22"/>
          <w:szCs w:val="22"/>
          <w:lang w:val="sr-Cyrl-RS"/>
        </w:rPr>
      </w:pPr>
    </w:p>
    <w:p w14:paraId="37DB0DF0" w14:textId="55076224" w:rsidR="001857C6" w:rsidRPr="003A68B7" w:rsidRDefault="001857C6" w:rsidP="001857C6">
      <w:pPr>
        <w:jc w:val="center"/>
        <w:rPr>
          <w:b/>
          <w:noProof/>
          <w:sz w:val="22"/>
          <w:szCs w:val="22"/>
          <w:lang w:val="sr-Cyrl-RS"/>
        </w:rPr>
      </w:pPr>
      <w:r w:rsidRPr="003A68B7">
        <w:rPr>
          <w:b/>
          <w:noProof/>
          <w:sz w:val="22"/>
          <w:szCs w:val="22"/>
          <w:lang w:val="sr-Cyrl-RS"/>
        </w:rPr>
        <w:t>ОГЛАШАВА</w:t>
      </w:r>
    </w:p>
    <w:p w14:paraId="3528013E" w14:textId="0EA97B16" w:rsidR="008D47F4" w:rsidRPr="007F3D11" w:rsidRDefault="007F3D11" w:rsidP="00B75E96">
      <w:pPr>
        <w:jc w:val="center"/>
        <w:rPr>
          <w:b/>
          <w:noProof/>
          <w:color w:val="000000" w:themeColor="text1"/>
          <w:sz w:val="22"/>
          <w:szCs w:val="22"/>
          <w:lang w:val="sr-Cyrl-RS"/>
        </w:rPr>
      </w:pPr>
      <w:r>
        <w:rPr>
          <w:b/>
          <w:noProof/>
          <w:color w:val="000000" w:themeColor="text1"/>
          <w:sz w:val="22"/>
          <w:szCs w:val="22"/>
          <w:lang w:val="sr-Cyrl-RS"/>
        </w:rPr>
        <w:t>продају непокретне им</w:t>
      </w:r>
      <w:r w:rsidR="00D44956">
        <w:rPr>
          <w:b/>
          <w:noProof/>
          <w:color w:val="000000" w:themeColor="text1"/>
          <w:sz w:val="22"/>
          <w:szCs w:val="22"/>
          <w:lang w:val="sr-Cyrl-RS"/>
        </w:rPr>
        <w:t xml:space="preserve">овине </w:t>
      </w:r>
    </w:p>
    <w:p w14:paraId="69B28095" w14:textId="6CFF884F" w:rsidR="00B75E96" w:rsidRPr="003A68B7" w:rsidRDefault="001857C6" w:rsidP="00B75E96">
      <w:pPr>
        <w:jc w:val="center"/>
        <w:rPr>
          <w:b/>
          <w:noProof/>
          <w:color w:val="000000" w:themeColor="text1"/>
          <w:sz w:val="22"/>
          <w:szCs w:val="22"/>
          <w:lang w:val="sr-Cyrl-RS"/>
        </w:rPr>
      </w:pPr>
      <w:r w:rsidRPr="003A68B7">
        <w:rPr>
          <w:b/>
          <w:noProof/>
          <w:color w:val="000000" w:themeColor="text1"/>
          <w:sz w:val="22"/>
          <w:szCs w:val="22"/>
          <w:lang w:val="sr-Cyrl-RS"/>
        </w:rPr>
        <w:t xml:space="preserve"> јавним надметањем</w:t>
      </w:r>
      <w:r w:rsidR="00A64490" w:rsidRPr="003A68B7">
        <w:rPr>
          <w:b/>
          <w:noProof/>
          <w:color w:val="000000" w:themeColor="text1"/>
          <w:sz w:val="22"/>
          <w:szCs w:val="22"/>
          <w:lang w:val="sr-Cyrl-RS"/>
        </w:rPr>
        <w:t xml:space="preserve"> </w:t>
      </w:r>
    </w:p>
    <w:p w14:paraId="7FFBD082" w14:textId="77777777" w:rsidR="001857C6" w:rsidRPr="003A68B7" w:rsidRDefault="001857C6" w:rsidP="001857C6">
      <w:pPr>
        <w:jc w:val="center"/>
        <w:rPr>
          <w:b/>
          <w:noProof/>
          <w:sz w:val="22"/>
          <w:szCs w:val="22"/>
          <w:lang w:val="sr-Cyrl-RS"/>
        </w:rPr>
      </w:pPr>
    </w:p>
    <w:p w14:paraId="7A7AF925" w14:textId="373E499B" w:rsidR="00A05708" w:rsidRPr="003A68B7" w:rsidRDefault="00561E6C" w:rsidP="001857C6">
      <w:pPr>
        <w:jc w:val="both"/>
        <w:rPr>
          <w:b/>
          <w:noProof/>
          <w:color w:val="000000" w:themeColor="text1"/>
          <w:sz w:val="22"/>
          <w:szCs w:val="22"/>
          <w:lang w:val="sr-Cyrl-RS"/>
        </w:rPr>
      </w:pPr>
      <w:bookmarkStart w:id="0" w:name="_Hlk199314791"/>
      <w:r w:rsidRPr="003A68B7">
        <w:rPr>
          <w:bCs/>
          <w:noProof/>
          <w:color w:val="000000" w:themeColor="text1"/>
          <w:lang w:val="sr-Cyrl-R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6"/>
        <w:gridCol w:w="1612"/>
        <w:gridCol w:w="1596"/>
      </w:tblGrid>
      <w:tr w:rsidR="00561E6C" w:rsidRPr="003A68B7" w14:paraId="32867A94" w14:textId="77777777" w:rsidTr="00F84BDC">
        <w:trPr>
          <w:trHeight w:val="512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AB4EC43" w14:textId="5234430B" w:rsidR="00561E6C" w:rsidRPr="003A68B7" w:rsidRDefault="007F3D11" w:rsidP="00487B73">
            <w:pPr>
              <w:spacing w:after="120"/>
              <w:jc w:val="center"/>
              <w:rPr>
                <w:b/>
                <w:bCs/>
                <w:noProof/>
                <w:sz w:val="22"/>
                <w:szCs w:val="22"/>
                <w:lang w:val="sr-Cyrl-RS"/>
              </w:rPr>
            </w:pPr>
            <w:r>
              <w:rPr>
                <w:b/>
                <w:bCs/>
                <w:noProof/>
                <w:sz w:val="22"/>
                <w:szCs w:val="22"/>
                <w:lang w:val="sr-Cyrl-RS"/>
              </w:rPr>
              <w:t>Предмет продаје</w:t>
            </w:r>
            <w:r w:rsidR="00D44956">
              <w:rPr>
                <w:b/>
                <w:bCs/>
                <w:noProof/>
                <w:sz w:val="22"/>
                <w:szCs w:val="22"/>
                <w:lang w:val="sr-Cyrl-RS"/>
              </w:rPr>
              <w:t xml:space="preserve"> је непокретна имовина као јединствена</w:t>
            </w:r>
            <w:r>
              <w:rPr>
                <w:b/>
                <w:bCs/>
                <w:noProof/>
                <w:sz w:val="22"/>
                <w:szCs w:val="22"/>
                <w:lang w:val="sr-Cyrl-RS"/>
              </w:rPr>
              <w:t xml:space="preserve"> имовинска целина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D8AEDD" w14:textId="77777777" w:rsidR="00561E6C" w:rsidRPr="003A68B7" w:rsidRDefault="00561E6C" w:rsidP="00487B73">
            <w:pPr>
              <w:pStyle w:val="TableContents"/>
              <w:snapToGrid w:val="0"/>
              <w:jc w:val="center"/>
              <w:rPr>
                <w:b/>
                <w:bCs/>
                <w:noProof/>
                <w:sz w:val="18"/>
                <w:szCs w:val="18"/>
                <w:lang w:val="sr-Cyrl-RS"/>
              </w:rPr>
            </w:pPr>
            <w:r w:rsidRPr="003A68B7">
              <w:rPr>
                <w:b/>
                <w:bCs/>
                <w:noProof/>
                <w:sz w:val="18"/>
                <w:szCs w:val="18"/>
                <w:lang w:val="sr-Cyrl-RS"/>
              </w:rPr>
              <w:t>Почетна цена</w:t>
            </w:r>
          </w:p>
          <w:p w14:paraId="38B93D09" w14:textId="77777777" w:rsidR="00561E6C" w:rsidRPr="003A68B7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  <w:r w:rsidRPr="003A68B7">
              <w:rPr>
                <w:b/>
                <w:bCs/>
                <w:noProof/>
                <w:sz w:val="18"/>
                <w:szCs w:val="18"/>
                <w:lang w:val="sr-Cyrl-RS"/>
              </w:rPr>
              <w:t>РСД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5675990" w14:textId="77777777" w:rsidR="00561E6C" w:rsidRPr="003A68B7" w:rsidRDefault="00561E6C" w:rsidP="00487B73">
            <w:pPr>
              <w:pStyle w:val="TableContents"/>
              <w:snapToGrid w:val="0"/>
              <w:jc w:val="center"/>
              <w:rPr>
                <w:b/>
                <w:bCs/>
                <w:noProof/>
                <w:sz w:val="18"/>
                <w:szCs w:val="18"/>
                <w:lang w:val="sr-Cyrl-RS"/>
              </w:rPr>
            </w:pPr>
            <w:r w:rsidRPr="003A68B7">
              <w:rPr>
                <w:b/>
                <w:bCs/>
                <w:noProof/>
                <w:sz w:val="18"/>
                <w:szCs w:val="18"/>
                <w:lang w:val="sr-Cyrl-RS"/>
              </w:rPr>
              <w:t>Депозит</w:t>
            </w:r>
          </w:p>
          <w:p w14:paraId="58E3B43D" w14:textId="77777777" w:rsidR="00561E6C" w:rsidRPr="003A68B7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  <w:r w:rsidRPr="003A68B7">
              <w:rPr>
                <w:b/>
                <w:bCs/>
                <w:noProof/>
                <w:sz w:val="18"/>
                <w:szCs w:val="18"/>
                <w:lang w:val="sr-Cyrl-RS"/>
              </w:rPr>
              <w:t>РСД</w:t>
            </w:r>
          </w:p>
        </w:tc>
      </w:tr>
      <w:tr w:rsidR="00561E6C" w:rsidRPr="007621F0" w14:paraId="7491F3D9" w14:textId="77777777" w:rsidTr="00F84BDC">
        <w:trPr>
          <w:trHeight w:val="98"/>
        </w:trPr>
        <w:tc>
          <w:tcPr>
            <w:tcW w:w="3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4140" w14:textId="300FE459" w:rsidR="00561E6C" w:rsidRPr="003A68B7" w:rsidRDefault="00561E6C" w:rsidP="00F709AC">
            <w:pPr>
              <w:pStyle w:val="ListParagraph"/>
              <w:tabs>
                <w:tab w:val="left" w:pos="240"/>
              </w:tabs>
              <w:spacing w:after="0"/>
              <w:ind w:right="274"/>
              <w:jc w:val="both"/>
              <w:rPr>
                <w:rFonts w:ascii="Times New Roman" w:hAnsi="Times New Roman"/>
                <w:b/>
                <w:noProof/>
                <w:u w:val="single"/>
                <w:lang w:val="sr-Cyrl-RS"/>
              </w:rPr>
            </w:pPr>
          </w:p>
          <w:p w14:paraId="4295C1FF" w14:textId="77261845" w:rsidR="00F709AC" w:rsidRPr="003A68B7" w:rsidRDefault="00F709AC" w:rsidP="00487B73">
            <w:pPr>
              <w:tabs>
                <w:tab w:val="left" w:pos="240"/>
              </w:tabs>
              <w:ind w:right="274"/>
              <w:jc w:val="both"/>
              <w:rPr>
                <w:sz w:val="22"/>
                <w:szCs w:val="22"/>
                <w:lang w:val="sr-Cyrl-CS"/>
              </w:rPr>
            </w:pPr>
            <w:bookmarkStart w:id="1" w:name="_Hlk167799925"/>
            <w:r w:rsidRPr="003A68B7">
              <w:rPr>
                <w:rFonts w:eastAsia="HiddenHorzOCR"/>
                <w:lang w:val="sr-Cyrl-RS"/>
              </w:rPr>
              <w:t>1</w:t>
            </w:r>
            <w:r w:rsidRPr="003A68B7">
              <w:rPr>
                <w:rFonts w:eastAsia="HiddenHorzOCR"/>
                <w:b/>
                <w:lang w:val="sr-Cyrl-RS"/>
              </w:rPr>
              <w:t>.</w:t>
            </w:r>
            <w:r w:rsidRPr="003A68B7">
              <w:rPr>
                <w:rFonts w:eastAsia="HiddenHorzOCR"/>
                <w:b/>
                <w:sz w:val="22"/>
                <w:szCs w:val="22"/>
                <w:lang w:val="sr-Cyrl-RS"/>
              </w:rPr>
              <w:t>П</w:t>
            </w:r>
            <w:r w:rsidRPr="003A68B7">
              <w:rPr>
                <w:rFonts w:eastAsia="HiddenHorzOCR"/>
                <w:b/>
                <w:sz w:val="22"/>
                <w:szCs w:val="22"/>
                <w:lang w:val="sr-Latn-RS"/>
              </w:rPr>
              <w:t>ољопривредно земљиште</w:t>
            </w:r>
            <w:r w:rsidRPr="003A68B7">
              <w:rPr>
                <w:rFonts w:eastAsia="HiddenHorzOCR"/>
                <w:sz w:val="22"/>
                <w:szCs w:val="22"/>
                <w:lang w:val="sr-Cyrl-RS"/>
              </w:rPr>
              <w:t xml:space="preserve"> (100 парцела)</w:t>
            </w:r>
            <w:r w:rsidR="00D44956">
              <w:rPr>
                <w:rFonts w:eastAsia="HiddenHorzOCR"/>
                <w:sz w:val="22"/>
                <w:szCs w:val="22"/>
                <w:lang w:val="sr-Cyrl-RS"/>
              </w:rPr>
              <w:t xml:space="preserve"> у КО Ватин</w:t>
            </w:r>
            <w:r w:rsidRPr="003A68B7">
              <w:rPr>
                <w:rFonts w:eastAsia="HiddenHorzOCR"/>
                <w:sz w:val="22"/>
                <w:szCs w:val="22"/>
                <w:lang w:val="sr-Latn-RS"/>
              </w:rPr>
              <w:t xml:space="preserve"> </w:t>
            </w:r>
            <w:r w:rsidRPr="003A68B7">
              <w:rPr>
                <w:rFonts w:eastAsia="HiddenHorzOCR"/>
                <w:sz w:val="22"/>
                <w:szCs w:val="22"/>
                <w:lang w:val="sr-Cyrl-RS"/>
              </w:rPr>
              <w:t xml:space="preserve">укупне површине </w:t>
            </w:r>
            <w:r w:rsidRPr="003A68B7">
              <w:rPr>
                <w:sz w:val="22"/>
                <w:szCs w:val="22"/>
                <w:lang w:val="sr-Cyrl-CS"/>
              </w:rPr>
              <w:t xml:space="preserve">82ха 57а 93м2, уписано у </w:t>
            </w:r>
            <w:r w:rsidR="006D7F02">
              <w:rPr>
                <w:sz w:val="22"/>
                <w:szCs w:val="22"/>
                <w:lang w:val="sr-Cyrl-RS"/>
              </w:rPr>
              <w:t>Лист непокретности</w:t>
            </w:r>
            <w:r w:rsidR="00D44956">
              <w:rPr>
                <w:sz w:val="22"/>
                <w:szCs w:val="22"/>
                <w:lang w:val="sr-Latn-RS"/>
              </w:rPr>
              <w:t xml:space="preserve"> </w:t>
            </w:r>
            <w:r w:rsidRPr="003A68B7">
              <w:rPr>
                <w:sz w:val="22"/>
                <w:szCs w:val="22"/>
                <w:lang w:val="sr-Latn-RS"/>
              </w:rPr>
              <w:t xml:space="preserve">број </w:t>
            </w:r>
            <w:r w:rsidRPr="003A68B7">
              <w:rPr>
                <w:sz w:val="22"/>
                <w:szCs w:val="22"/>
                <w:lang w:val="sr-Cyrl-CS"/>
              </w:rPr>
              <w:t>163 КО Ватин</w:t>
            </w:r>
            <w:r w:rsidR="000A009B" w:rsidRPr="003A68B7">
              <w:rPr>
                <w:sz w:val="22"/>
                <w:szCs w:val="22"/>
                <w:lang w:val="sr-Cyrl-CS"/>
              </w:rPr>
              <w:t>, врста права: својина, облик својине: друштвена, обим удела 1/1</w:t>
            </w:r>
            <w:r w:rsidRPr="003A68B7">
              <w:rPr>
                <w:sz w:val="22"/>
                <w:szCs w:val="22"/>
                <w:lang w:val="sr-Cyrl-CS"/>
              </w:rPr>
              <w:t xml:space="preserve"> и то:</w:t>
            </w:r>
          </w:p>
          <w:p w14:paraId="6711A626" w14:textId="77777777" w:rsidR="000A009B" w:rsidRPr="003A68B7" w:rsidRDefault="00F709AC" w:rsidP="00F709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sr-Cyrl-CS"/>
              </w:rPr>
            </w:pPr>
            <w:r w:rsidRPr="003A68B7">
              <w:rPr>
                <w:rFonts w:ascii="Times New Roman" w:hAnsi="Times New Roman"/>
                <w:lang w:val="sr-Cyrl-CS"/>
              </w:rPr>
              <w:t>- 547/9, 547/14, 547/20, 547/22, 547/23, 547/24, 554/2, 557/2, 557/3, 557/4, 557/5, 557/6, 557/7, 557/8, 557/9, 557/10, 560/1, 560/2, 560/3, 560/16, 560/17, 560/18, 560/21, 560/22, 560/27, 562/5, 565/4, 566/1, 566/3, 566/4, 566/5, 566/6, 566/7, 566/8, 566/9, 566/10, 566/11, 566/13, 566/15, 566/16, 566/17, 566/18, 566/19, 566/20, 566/21, 566/22, 566/23, 566/24, 566/25, 566/27, 566/28, 566/29, 566/30, 566/31, 566/33, 566/34, 566/35, 566/36, 566/37, 566/38, 566/39, 566/41, 566/42, 566/43, 566/46, 566/49, 566/50, 568/1, 568/2, 568/3, 568/4, 568/5, 568/6, 568/7, 568/8, 568/9, 568/10, 568/12, 568/13, 568/15, 568/16, 568/17, 568/19, 568/21, 568/22, 568/23, 568/24, 568/25, 568/26, 578/1, 578/2, 578/3, 578/4, 578/5, 578/6, 57</w:t>
            </w:r>
            <w:r w:rsidR="000A009B" w:rsidRPr="003A68B7">
              <w:rPr>
                <w:rFonts w:ascii="Times New Roman" w:hAnsi="Times New Roman"/>
                <w:lang w:val="sr-Cyrl-CS"/>
              </w:rPr>
              <w:t>8/7, 578/8, 578/9, 581/1, 582/6;</w:t>
            </w:r>
            <w:r w:rsidRPr="003A68B7">
              <w:rPr>
                <w:rFonts w:ascii="Times New Roman" w:hAnsi="Times New Roman"/>
                <w:lang w:val="sr-Cyrl-CS"/>
              </w:rPr>
              <w:t xml:space="preserve"> </w:t>
            </w:r>
          </w:p>
          <w:p w14:paraId="024345B8" w14:textId="77777777" w:rsidR="000A009B" w:rsidRPr="003A68B7" w:rsidRDefault="000A009B" w:rsidP="00F709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sr-Cyrl-CS"/>
              </w:rPr>
            </w:pPr>
          </w:p>
          <w:p w14:paraId="0E9035C2" w14:textId="65F4D3EF" w:rsidR="000A009B" w:rsidRPr="003A68B7" w:rsidRDefault="007F3D11" w:rsidP="00F709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sr-Cyrl-CS"/>
              </w:rPr>
            </w:pPr>
            <w:r w:rsidRPr="007F3D11">
              <w:rPr>
                <w:rFonts w:ascii="Times New Roman" w:hAnsi="Times New Roman"/>
                <w:b/>
                <w:bCs/>
                <w:lang w:val="sr-Cyrl-CS"/>
              </w:rPr>
              <w:t>2</w:t>
            </w:r>
            <w:r>
              <w:rPr>
                <w:rFonts w:ascii="Times New Roman" w:hAnsi="Times New Roman"/>
                <w:b/>
                <w:bCs/>
                <w:lang w:val="sr-Cyrl-CS"/>
              </w:rPr>
              <w:t>а</w:t>
            </w:r>
            <w:r w:rsidR="00EB73AB" w:rsidRPr="003A68B7">
              <w:rPr>
                <w:rFonts w:ascii="Times New Roman" w:hAnsi="Times New Roman"/>
                <w:lang w:val="sr-Cyrl-CS"/>
              </w:rPr>
              <w:t>.</w:t>
            </w:r>
            <w:r w:rsidR="000A009B" w:rsidRPr="003A68B7">
              <w:rPr>
                <w:rFonts w:ascii="Times New Roman" w:hAnsi="Times New Roman"/>
                <w:lang w:val="sr-Cyrl-CS"/>
              </w:rPr>
              <w:t xml:space="preserve"> </w:t>
            </w:r>
            <w:r w:rsidR="000A009B" w:rsidRPr="003A68B7">
              <w:rPr>
                <w:rFonts w:ascii="Times New Roman" w:hAnsi="Times New Roman"/>
                <w:b/>
                <w:lang w:val="sr-Cyrl-RS"/>
              </w:rPr>
              <w:t>Г</w:t>
            </w:r>
            <w:r w:rsidR="000A009B" w:rsidRPr="003A68B7">
              <w:rPr>
                <w:rFonts w:ascii="Times New Roman" w:hAnsi="Times New Roman"/>
                <w:b/>
                <w:lang w:val="sr-Latn-RS"/>
              </w:rPr>
              <w:t>рађевинско земљиште изван грађевинског подручја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 - КП 29278 </w:t>
            </w:r>
            <w:r w:rsidR="000A009B" w:rsidRPr="003A68B7">
              <w:rPr>
                <w:rFonts w:ascii="Times New Roman" w:hAnsi="Times New Roman"/>
                <w:lang w:val="sr-Latn-RS"/>
              </w:rPr>
              <w:t>KO</w:t>
            </w:r>
            <w:r w:rsidR="00D44956">
              <w:rPr>
                <w:rFonts w:ascii="Times New Roman" w:hAnsi="Times New Roman"/>
                <w:lang w:val="sr-Cyrl-RS"/>
              </w:rPr>
              <w:t xml:space="preserve"> Вршац уписана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 у Извод број </w:t>
            </w:r>
            <w:r w:rsidR="000A009B" w:rsidRPr="003A68B7">
              <w:rPr>
                <w:rFonts w:ascii="Times New Roman" w:hAnsi="Times New Roman"/>
                <w:lang w:val="sr-Latn-RS"/>
              </w:rPr>
              <w:t>12041</w:t>
            </w:r>
            <w:r w:rsidR="000A009B" w:rsidRPr="003A68B7">
              <w:rPr>
                <w:rFonts w:ascii="Times New Roman" w:hAnsi="Times New Roman"/>
                <w:lang w:val="sr-Cyrl-RS"/>
              </w:rPr>
              <w:t>, Потес Велики Рит, укупне површине 9631 м2 (број дела 1 – земљиште под зградом и другим објектом, површине 584 м2 и број дела 2 – пашњак 3. класе , површине 9047 м2),</w:t>
            </w:r>
            <w:r>
              <w:rPr>
                <w:rFonts w:ascii="Times New Roman" w:hAnsi="Times New Roman"/>
                <w:lang w:val="sr-Cyrl-RS"/>
              </w:rPr>
              <w:t xml:space="preserve"> </w:t>
            </w:r>
            <w:r w:rsidR="000A009B" w:rsidRPr="003A68B7">
              <w:rPr>
                <w:rFonts w:ascii="Times New Roman" w:hAnsi="Times New Roman"/>
                <w:lang w:val="sr-Cyrl-RS"/>
              </w:rPr>
              <w:t>врста права: својина, облик својине: друштвен</w:t>
            </w:r>
            <w:r>
              <w:rPr>
                <w:rFonts w:ascii="Times New Roman" w:hAnsi="Times New Roman"/>
                <w:lang w:val="sr-Latn-RS"/>
              </w:rPr>
              <w:t xml:space="preserve">, 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обим удела </w:t>
            </w:r>
            <w:r w:rsidR="00D44956">
              <w:rPr>
                <w:rFonts w:ascii="Times New Roman" w:hAnsi="Times New Roman"/>
                <w:lang w:val="sr-Cyrl-RS"/>
              </w:rPr>
              <w:t xml:space="preserve">стечајног дужника 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42/100. </w:t>
            </w:r>
          </w:p>
          <w:p w14:paraId="45FE87ED" w14:textId="6F238E7B" w:rsidR="000A009B" w:rsidRPr="003A68B7" w:rsidRDefault="00EB73AB" w:rsidP="000A00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sr-Cyrl-CS"/>
              </w:rPr>
            </w:pPr>
            <w:r w:rsidRPr="007F3D11">
              <w:rPr>
                <w:rFonts w:ascii="Times New Roman" w:hAnsi="Times New Roman"/>
                <w:b/>
                <w:bCs/>
                <w:lang w:val="sr-Cyrl-RS"/>
              </w:rPr>
              <w:t>2б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. </w:t>
            </w:r>
            <w:r w:rsidR="000A009B" w:rsidRPr="003A68B7">
              <w:rPr>
                <w:rFonts w:ascii="Times New Roman" w:hAnsi="Times New Roman"/>
                <w:b/>
                <w:lang w:val="sr-Cyrl-RS"/>
              </w:rPr>
              <w:t>Објекат пољопривреде</w:t>
            </w:r>
            <w:r w:rsidR="000A009B" w:rsidRPr="003A68B7">
              <w:rPr>
                <w:rFonts w:ascii="Times New Roman" w:hAnsi="Times New Roman"/>
                <w:lang w:val="sr-Cyrl-RS"/>
              </w:rPr>
              <w:t>, објекат број 1, површине 584 м2</w:t>
            </w:r>
            <w:r w:rsidR="004C0997">
              <w:rPr>
                <w:rFonts w:ascii="Times New Roman" w:hAnsi="Times New Roman"/>
                <w:lang w:val="sr-Latn-RS"/>
              </w:rPr>
              <w:t xml:space="preserve"> (</w:t>
            </w:r>
            <w:r w:rsidR="004C0997">
              <w:rPr>
                <w:rFonts w:ascii="Times New Roman" w:hAnsi="Times New Roman"/>
                <w:lang w:val="sr-Cyrl-RS"/>
              </w:rPr>
              <w:t>према подацима из процене ради се о објекту спратности Пр+1, укупне површине 1168м2)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, објекат преузет из земљишне књиге, број етажа приземље: 1, изграђен на КП 29278 КО Вршац, </w:t>
            </w:r>
            <w:r w:rsidR="00D44956">
              <w:rPr>
                <w:rFonts w:ascii="Times New Roman" w:hAnsi="Times New Roman"/>
                <w:lang w:val="sr-Cyrl-RS"/>
              </w:rPr>
              <w:t xml:space="preserve">врста права: </w:t>
            </w:r>
            <w:r w:rsidR="000A009B" w:rsidRPr="003A68B7">
              <w:rPr>
                <w:rFonts w:ascii="Times New Roman" w:hAnsi="Times New Roman"/>
                <w:lang w:val="sr-Cyrl-RS"/>
              </w:rPr>
              <w:t>својина</w:t>
            </w:r>
            <w:r w:rsidR="00D44956">
              <w:rPr>
                <w:rFonts w:ascii="Times New Roman" w:hAnsi="Times New Roman"/>
                <w:lang w:val="sr-Cyrl-RS"/>
              </w:rPr>
              <w:t>, облик својине: друштвена,  обим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 удела </w:t>
            </w:r>
            <w:r w:rsidR="00D44956">
              <w:rPr>
                <w:rFonts w:ascii="Times New Roman" w:hAnsi="Times New Roman"/>
                <w:lang w:val="sr-Cyrl-RS"/>
              </w:rPr>
              <w:t xml:space="preserve">стечајног дужника </w:t>
            </w:r>
            <w:r w:rsidR="000A009B" w:rsidRPr="003A68B7">
              <w:rPr>
                <w:rFonts w:ascii="Times New Roman" w:hAnsi="Times New Roman"/>
                <w:lang w:val="sr-Cyrl-RS"/>
              </w:rPr>
              <w:t xml:space="preserve">42/100. </w:t>
            </w:r>
          </w:p>
          <w:p w14:paraId="37D52BE2" w14:textId="77777777" w:rsidR="00F709AC" w:rsidRPr="003A68B7" w:rsidRDefault="00F709AC" w:rsidP="00F709A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lang w:val="sr-Cyrl-CS"/>
              </w:rPr>
            </w:pPr>
          </w:p>
          <w:bookmarkEnd w:id="1"/>
          <w:p w14:paraId="3F4083A7" w14:textId="1551E564" w:rsidR="00561E6C" w:rsidRPr="007621F0" w:rsidRDefault="00561E6C" w:rsidP="00487B73">
            <w:pPr>
              <w:jc w:val="both"/>
              <w:rPr>
                <w:b/>
                <w:noProof/>
                <w:sz w:val="22"/>
                <w:szCs w:val="22"/>
                <w:lang w:val="sr-Cyrl-RS"/>
              </w:rPr>
            </w:pPr>
            <w:r w:rsidRPr="003A68B7">
              <w:rPr>
                <w:b/>
                <w:i/>
                <w:noProof/>
                <w:sz w:val="22"/>
                <w:szCs w:val="22"/>
                <w:lang w:val="sr-Cyrl-RS"/>
              </w:rPr>
              <w:t>Напомена: Опис и спецификац</w:t>
            </w:r>
            <w:r w:rsidR="00140C64" w:rsidRPr="003A68B7">
              <w:rPr>
                <w:b/>
                <w:i/>
                <w:noProof/>
                <w:sz w:val="22"/>
                <w:szCs w:val="22"/>
                <w:lang w:val="sr-Cyrl-RS"/>
              </w:rPr>
              <w:t>ија предметне имовине</w:t>
            </w:r>
            <w:r w:rsidR="00BE6868" w:rsidRPr="003A68B7">
              <w:rPr>
                <w:b/>
                <w:i/>
                <w:noProof/>
                <w:sz w:val="22"/>
                <w:szCs w:val="22"/>
                <w:lang w:val="sr-Cyrl-RS"/>
              </w:rPr>
              <w:t>, као и њен статус</w:t>
            </w:r>
            <w:r w:rsidR="00140C64" w:rsidRPr="003A68B7">
              <w:rPr>
                <w:b/>
                <w:i/>
                <w:noProof/>
                <w:sz w:val="22"/>
                <w:szCs w:val="22"/>
                <w:lang w:val="sr-Cyrl-RS"/>
              </w:rPr>
              <w:t xml:space="preserve"> детаљно су</w:t>
            </w:r>
            <w:r w:rsidRPr="003A68B7">
              <w:rPr>
                <w:b/>
                <w:i/>
                <w:noProof/>
                <w:sz w:val="22"/>
                <w:szCs w:val="22"/>
                <w:lang w:val="sr-Cyrl-RS"/>
              </w:rPr>
              <w:t xml:space="preserve"> приказан</w:t>
            </w:r>
            <w:r w:rsidR="00140C64" w:rsidRPr="003A68B7">
              <w:rPr>
                <w:b/>
                <w:i/>
                <w:noProof/>
                <w:sz w:val="22"/>
                <w:szCs w:val="22"/>
                <w:lang w:val="sr-Cyrl-RS"/>
              </w:rPr>
              <w:t>и</w:t>
            </w:r>
            <w:r w:rsidRPr="003A68B7">
              <w:rPr>
                <w:b/>
                <w:i/>
                <w:noProof/>
                <w:sz w:val="22"/>
                <w:szCs w:val="22"/>
                <w:lang w:val="sr-Cyrl-RS"/>
              </w:rPr>
              <w:t xml:space="preserve"> кроз продајну документацију</w:t>
            </w:r>
            <w:r w:rsidRPr="003A68B7">
              <w:rPr>
                <w:b/>
                <w:noProof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EBE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1D303708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5DBBF6BC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0EF5796B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7A3FBFA8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7AA87C4D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2CB581F2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4A46F103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1E98E09A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69ED259F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49C92F02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461D4F4B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6D77DBD7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2A39C104" w14:textId="755CFE9B" w:rsidR="00561E6C" w:rsidRPr="007621F0" w:rsidRDefault="00DD4C69" w:rsidP="00487B73">
            <w:pPr>
              <w:jc w:val="center"/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35.481.227,87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7E50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35307DF5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205CF101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28967467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2EFC605F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2309E4E5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4D9EEA80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64970B03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118E5C1E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1D709F33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04983921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5ED4530B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1282C5B5" w14:textId="77777777" w:rsidR="00561E6C" w:rsidRPr="007621F0" w:rsidRDefault="00561E6C" w:rsidP="00487B73">
            <w:pPr>
              <w:jc w:val="center"/>
              <w:rPr>
                <w:b/>
                <w:bCs/>
                <w:noProof/>
                <w:lang w:val="sr-Cyrl-RS"/>
              </w:rPr>
            </w:pPr>
          </w:p>
          <w:p w14:paraId="3DE77C22" w14:textId="08B0A96A" w:rsidR="00561E6C" w:rsidRPr="007621F0" w:rsidRDefault="00DD4C69" w:rsidP="00487B73">
            <w:pPr>
              <w:jc w:val="center"/>
              <w:rPr>
                <w:b/>
                <w:bCs/>
                <w:noProof/>
                <w:lang w:val="sr-Cyrl-RS"/>
              </w:rPr>
            </w:pPr>
            <w:r>
              <w:rPr>
                <w:b/>
                <w:bCs/>
                <w:noProof/>
                <w:lang w:val="sr-Cyrl-RS"/>
              </w:rPr>
              <w:t>14.192.491,15</w:t>
            </w:r>
          </w:p>
        </w:tc>
      </w:tr>
    </w:tbl>
    <w:p w14:paraId="5C915577" w14:textId="77777777" w:rsidR="00140C64" w:rsidRDefault="00140C64" w:rsidP="004957E2">
      <w:pPr>
        <w:tabs>
          <w:tab w:val="left" w:pos="1789"/>
        </w:tabs>
        <w:jc w:val="both"/>
        <w:rPr>
          <w:b/>
          <w:bCs/>
          <w:noProof/>
          <w:color w:val="000000" w:themeColor="text1"/>
          <w:sz w:val="22"/>
          <w:szCs w:val="22"/>
          <w:lang w:val="sr-Cyrl-RS"/>
        </w:rPr>
      </w:pPr>
    </w:p>
    <w:p w14:paraId="467857ED" w14:textId="77777777" w:rsidR="00140C64" w:rsidRDefault="00140C64" w:rsidP="00140C64">
      <w:pPr>
        <w:pStyle w:val="Default"/>
      </w:pPr>
    </w:p>
    <w:p w14:paraId="1E44C152" w14:textId="71DB3C91" w:rsidR="00EF60CE" w:rsidRDefault="00402081" w:rsidP="00140C64">
      <w:pPr>
        <w:pStyle w:val="Default"/>
        <w:jc w:val="both"/>
        <w:rPr>
          <w:rFonts w:ascii="Times New Roman" w:hAnsi="Times New Roman" w:cs="Times New Roman"/>
          <w:b/>
          <w:bCs/>
          <w:color w:val="1E0B00"/>
          <w:sz w:val="22"/>
          <w:szCs w:val="22"/>
          <w:lang w:val="sr-Cyrl-RS"/>
        </w:rPr>
      </w:pPr>
      <w:bookmarkStart w:id="2" w:name="_Hlk229118273"/>
      <w:r>
        <w:rPr>
          <w:rFonts w:ascii="Times New Roman" w:hAnsi="Times New Roman" w:cs="Times New Roman"/>
          <w:b/>
          <w:bCs/>
          <w:color w:val="1E0B00"/>
          <w:sz w:val="22"/>
          <w:szCs w:val="22"/>
        </w:rPr>
        <w:t xml:space="preserve">Страна физичка и правна лица </w:t>
      </w:r>
      <w:r w:rsidR="00140C64" w:rsidRPr="00140C64">
        <w:rPr>
          <w:rFonts w:ascii="Times New Roman" w:hAnsi="Times New Roman" w:cs="Times New Roman"/>
          <w:b/>
          <w:bCs/>
          <w:color w:val="1E0B00"/>
          <w:sz w:val="22"/>
          <w:szCs w:val="22"/>
        </w:rPr>
        <w:t xml:space="preserve">могу учествовати у куповини </w:t>
      </w:r>
      <w:r w:rsidR="007F3D11">
        <w:rPr>
          <w:rFonts w:ascii="Times New Roman" w:hAnsi="Times New Roman" w:cs="Times New Roman"/>
          <w:b/>
          <w:bCs/>
          <w:color w:val="1E0B00"/>
          <w:sz w:val="22"/>
          <w:szCs w:val="22"/>
          <w:lang w:val="sr-Cyrl-RS"/>
        </w:rPr>
        <w:t>пољопривредног земљишта</w:t>
      </w:r>
      <w:r w:rsidR="00006C82">
        <w:rPr>
          <w:rFonts w:ascii="Times New Roman" w:hAnsi="Times New Roman" w:cs="Times New Roman"/>
          <w:b/>
          <w:bCs/>
          <w:color w:val="1E0B00"/>
          <w:sz w:val="22"/>
          <w:szCs w:val="22"/>
        </w:rPr>
        <w:t>, само према условима пред</w:t>
      </w:r>
      <w:r w:rsidR="0067721F">
        <w:rPr>
          <w:rFonts w:ascii="Times New Roman" w:hAnsi="Times New Roman" w:cs="Times New Roman"/>
          <w:b/>
          <w:bCs/>
          <w:color w:val="1E0B00"/>
          <w:sz w:val="22"/>
          <w:szCs w:val="22"/>
        </w:rPr>
        <w:t xml:space="preserve">виђеним у чл. 1. став 4. </w:t>
      </w:r>
      <w:r w:rsidR="00140C64" w:rsidRPr="00140C64">
        <w:rPr>
          <w:rFonts w:ascii="Times New Roman" w:hAnsi="Times New Roman" w:cs="Times New Roman"/>
          <w:b/>
          <w:bCs/>
          <w:color w:val="1E0B00"/>
          <w:sz w:val="22"/>
          <w:szCs w:val="22"/>
        </w:rPr>
        <w:t xml:space="preserve">Закона о пољопривредном земљишту („Сл. гласник РС“, бр. 62/2006, 65/2008 - др. закон, 41/2009, 112/2015, 80/2017 и 95/2018 - др. закон). </w:t>
      </w:r>
    </w:p>
    <w:p w14:paraId="65F71604" w14:textId="77777777" w:rsidR="007F3D11" w:rsidRDefault="007F3D11" w:rsidP="00140C64">
      <w:pPr>
        <w:pStyle w:val="Default"/>
        <w:jc w:val="both"/>
        <w:rPr>
          <w:rFonts w:ascii="Times New Roman" w:hAnsi="Times New Roman" w:cs="Times New Roman"/>
          <w:b/>
          <w:bCs/>
          <w:color w:val="1E0B00"/>
          <w:sz w:val="22"/>
          <w:szCs w:val="22"/>
          <w:lang w:val="sr-Cyrl-RS"/>
        </w:rPr>
      </w:pPr>
    </w:p>
    <w:bookmarkEnd w:id="2"/>
    <w:p w14:paraId="7A1188AF" w14:textId="77777777" w:rsidR="007F3D11" w:rsidRDefault="007F3D11" w:rsidP="00140C64">
      <w:pPr>
        <w:pStyle w:val="Default"/>
        <w:jc w:val="both"/>
        <w:rPr>
          <w:rFonts w:ascii="Times New Roman" w:hAnsi="Times New Roman" w:cs="Times New Roman"/>
          <w:b/>
          <w:bCs/>
          <w:color w:val="1E0B00"/>
          <w:sz w:val="22"/>
          <w:szCs w:val="22"/>
          <w:lang w:val="sr-Cyrl-RS"/>
        </w:rPr>
      </w:pPr>
    </w:p>
    <w:p w14:paraId="6942B8F6" w14:textId="77777777" w:rsidR="007F3D11" w:rsidRPr="007F3D11" w:rsidRDefault="007F3D11" w:rsidP="00140C64">
      <w:pPr>
        <w:pStyle w:val="Default"/>
        <w:jc w:val="both"/>
        <w:rPr>
          <w:rFonts w:ascii="Times New Roman" w:hAnsi="Times New Roman" w:cs="Times New Roman"/>
          <w:b/>
          <w:bCs/>
          <w:color w:val="1E0B00"/>
          <w:sz w:val="22"/>
          <w:szCs w:val="22"/>
          <w:lang w:val="sr-Cyrl-RS"/>
        </w:rPr>
      </w:pPr>
    </w:p>
    <w:bookmarkEnd w:id="0"/>
    <w:p w14:paraId="7AF6F63E" w14:textId="77777777" w:rsidR="00B523A4" w:rsidRDefault="00B523A4" w:rsidP="00140C64">
      <w:pPr>
        <w:pStyle w:val="Default"/>
        <w:jc w:val="both"/>
        <w:rPr>
          <w:rFonts w:ascii="Times New Roman" w:hAnsi="Times New Roman" w:cs="Times New Roman"/>
          <w:b/>
          <w:bCs/>
          <w:color w:val="1E0B00"/>
          <w:sz w:val="22"/>
          <w:szCs w:val="22"/>
        </w:rPr>
      </w:pPr>
    </w:p>
    <w:p w14:paraId="764FC261" w14:textId="77777777" w:rsidR="00B523A4" w:rsidRPr="00846334" w:rsidRDefault="00B523A4" w:rsidP="00B523A4">
      <w:pPr>
        <w:spacing w:after="60"/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Право на учешће у поступку продаје имају сва правна и физичка лица</w:t>
      </w:r>
      <w:r w:rsidRPr="00846334">
        <w:rPr>
          <w:sz w:val="22"/>
          <w:szCs w:val="22"/>
          <w:lang w:val="ru-RU"/>
        </w:rPr>
        <w:t xml:space="preserve"> </w:t>
      </w:r>
      <w:r w:rsidRPr="00846334">
        <w:rPr>
          <w:sz w:val="22"/>
          <w:szCs w:val="22"/>
          <w:lang w:val="sr-Cyrl-CS"/>
        </w:rPr>
        <w:t>која:</w:t>
      </w:r>
    </w:p>
    <w:p w14:paraId="6CE0ED69" w14:textId="3284E8A0" w:rsidR="00B523A4" w:rsidRPr="006519A5" w:rsidRDefault="00B523A4" w:rsidP="00C357FD">
      <w:pPr>
        <w:pStyle w:val="ListParagraph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/>
          <w:lang w:val="sr-Latn-RS"/>
        </w:rPr>
      </w:pPr>
      <w:r w:rsidRPr="006519A5">
        <w:rPr>
          <w:rFonts w:ascii="Times New Roman" w:hAnsi="Times New Roman"/>
          <w:lang w:val="sr-Cyrl-CS"/>
        </w:rPr>
        <w:t xml:space="preserve">након добијања профактуре, изврше уплату ради откупа продајне документације у износу од  </w:t>
      </w:r>
      <w:r w:rsidR="00DD4C69" w:rsidRPr="00DD4C69">
        <w:rPr>
          <w:rFonts w:ascii="Times New Roman" w:hAnsi="Times New Roman"/>
          <w:b/>
          <w:bCs/>
          <w:lang w:val="sr-Cyrl-CS"/>
        </w:rPr>
        <w:t>200.000</w:t>
      </w:r>
      <w:r w:rsidRPr="00DD4C69">
        <w:rPr>
          <w:rFonts w:ascii="Times New Roman" w:hAnsi="Times New Roman"/>
          <w:b/>
          <w:bCs/>
          <w:lang w:val="sr-Cyrl-CS"/>
        </w:rPr>
        <w:t>,00</w:t>
      </w:r>
      <w:r w:rsidRPr="006519A5">
        <w:rPr>
          <w:rFonts w:ascii="Times New Roman" w:hAnsi="Times New Roman"/>
          <w:b/>
          <w:lang w:val="sr-Cyrl-CS"/>
        </w:rPr>
        <w:t xml:space="preserve"> динара </w:t>
      </w:r>
      <w:r w:rsidR="00DD4C69" w:rsidRPr="00DD4C69">
        <w:rPr>
          <w:rFonts w:ascii="Times New Roman" w:hAnsi="Times New Roman"/>
          <w:bCs/>
          <w:lang w:val="sr-Cyrl-CS"/>
        </w:rPr>
        <w:t>(стечајни дужник није у систему ПДВ-а)</w:t>
      </w:r>
      <w:r w:rsidRPr="00DD4C69">
        <w:rPr>
          <w:rFonts w:ascii="Times New Roman" w:hAnsi="Times New Roman"/>
          <w:bCs/>
          <w:lang w:val="sr-Cyrl-CS"/>
        </w:rPr>
        <w:t>.</w:t>
      </w:r>
      <w:r w:rsidRPr="006519A5">
        <w:rPr>
          <w:rFonts w:ascii="Times New Roman" w:hAnsi="Times New Roman"/>
          <w:b/>
          <w:lang w:val="sr-Cyrl-CS"/>
        </w:rPr>
        <w:t xml:space="preserve"> </w:t>
      </w:r>
      <w:r w:rsidRPr="006519A5">
        <w:rPr>
          <w:rFonts w:ascii="Times New Roman" w:hAnsi="Times New Roman"/>
          <w:lang w:val="sr-Cyrl-CS"/>
        </w:rPr>
        <w:t>Профактура се мора преузети</w:t>
      </w:r>
      <w:r w:rsidR="00FE3239">
        <w:rPr>
          <w:rFonts w:ascii="Times New Roman" w:hAnsi="Times New Roman"/>
          <w:lang w:val="sr-Latn-RS"/>
        </w:rPr>
        <w:t>,</w:t>
      </w:r>
      <w:r w:rsidR="006519A5">
        <w:rPr>
          <w:rFonts w:ascii="Times New Roman" w:hAnsi="Times New Roman"/>
        </w:rPr>
        <w:t xml:space="preserve"> на адреси</w:t>
      </w:r>
      <w:r w:rsidR="00021131">
        <w:rPr>
          <w:rFonts w:ascii="Times New Roman" w:hAnsi="Times New Roman"/>
        </w:rPr>
        <w:t xml:space="preserve"> </w:t>
      </w:r>
      <w:r w:rsidR="00021131">
        <w:rPr>
          <w:rFonts w:ascii="Times New Roman" w:hAnsi="Times New Roman"/>
          <w:bCs/>
          <w:lang w:val="sr-Cyrl-RS"/>
        </w:rPr>
        <w:t>Панчевачки пут бр. 221А, Београд - Палилула</w:t>
      </w:r>
      <w:r w:rsidR="006519A5">
        <w:rPr>
          <w:rFonts w:ascii="Times New Roman" w:hAnsi="Times New Roman"/>
          <w:lang w:val="sr-Cyrl-RS"/>
        </w:rPr>
        <w:t xml:space="preserve">, </w:t>
      </w:r>
      <w:r w:rsidR="006519A5">
        <w:rPr>
          <w:rFonts w:ascii="Times New Roman" w:hAnsi="Times New Roman"/>
          <w:lang w:val="sr-Cyrl-CS"/>
        </w:rPr>
        <w:t xml:space="preserve"> уз претходну најаву повереник</w:t>
      </w:r>
      <w:r w:rsidR="00FE3239">
        <w:rPr>
          <w:rFonts w:ascii="Times New Roman" w:hAnsi="Times New Roman"/>
          <w:lang w:val="sr-Cyrl-RS"/>
        </w:rPr>
        <w:t>у</w:t>
      </w:r>
      <w:r w:rsidR="006519A5">
        <w:rPr>
          <w:rFonts w:ascii="Times New Roman" w:hAnsi="Times New Roman"/>
          <w:lang w:val="sr-Cyrl-CS"/>
        </w:rPr>
        <w:t xml:space="preserve"> или путем</w:t>
      </w:r>
      <w:r w:rsidRPr="006519A5">
        <w:rPr>
          <w:rFonts w:ascii="Times New Roman" w:hAnsi="Times New Roman"/>
          <w:lang w:val="sr-Cyrl-CS"/>
        </w:rPr>
        <w:t xml:space="preserve"> електронске поште:</w:t>
      </w:r>
      <w:r w:rsidR="006519A5" w:rsidRPr="006519A5">
        <w:rPr>
          <w:rFonts w:ascii="Times New Roman" w:hAnsi="Times New Roman"/>
          <w:lang w:val="sr-Latn-RS"/>
        </w:rPr>
        <w:t xml:space="preserve"> </w:t>
      </w:r>
      <w:r w:rsidR="00021131" w:rsidRPr="00021131">
        <w:rPr>
          <w:rFonts w:ascii="Times New Roman" w:hAnsi="Times New Roman"/>
          <w:b/>
          <w:lang w:val="sr-Latn-RS"/>
        </w:rPr>
        <w:t>dubovinaveljko@yahoo.com</w:t>
      </w:r>
      <w:r w:rsidRPr="006519A5">
        <w:rPr>
          <w:rFonts w:ascii="Times New Roman" w:hAnsi="Times New Roman"/>
          <w:lang w:val="sr-Latn-RS"/>
        </w:rPr>
        <w:t xml:space="preserve">, </w:t>
      </w:r>
      <w:r w:rsidRPr="006519A5">
        <w:rPr>
          <w:rFonts w:ascii="Times New Roman" w:hAnsi="Times New Roman"/>
          <w:lang w:val="sr-Cyrl-RS"/>
        </w:rPr>
        <w:t xml:space="preserve">сваког радног дана у периоду од 09:00 до </w:t>
      </w:r>
      <w:r w:rsidR="00DD4C69">
        <w:rPr>
          <w:rFonts w:ascii="Times New Roman" w:hAnsi="Times New Roman"/>
          <w:lang w:val="sr-Cyrl-RS"/>
        </w:rPr>
        <w:t>16</w:t>
      </w:r>
      <w:r w:rsidRPr="006519A5">
        <w:rPr>
          <w:rFonts w:ascii="Times New Roman" w:hAnsi="Times New Roman"/>
          <w:lang w:val="sr-Cyrl-RS"/>
        </w:rPr>
        <w:t>:00</w:t>
      </w:r>
      <w:r w:rsidRPr="006519A5">
        <w:rPr>
          <w:rFonts w:ascii="Times New Roman" w:hAnsi="Times New Roman"/>
          <w:lang w:val="sr-Cyrl-CS"/>
        </w:rPr>
        <w:t xml:space="preserve"> часова. </w:t>
      </w:r>
      <w:r w:rsidRPr="006519A5">
        <w:rPr>
          <w:rFonts w:ascii="Times New Roman" w:hAnsi="Times New Roman"/>
          <w:lang w:val="sr-Cyrl-RS"/>
        </w:rPr>
        <w:t>Крајњи рок</w:t>
      </w:r>
      <w:r w:rsidRPr="006519A5">
        <w:rPr>
          <w:rFonts w:ascii="Times New Roman" w:hAnsi="Times New Roman"/>
          <w:lang w:val="sr-Latn-RS"/>
        </w:rPr>
        <w:t xml:space="preserve"> </w:t>
      </w:r>
      <w:r w:rsidRPr="006519A5">
        <w:rPr>
          <w:rFonts w:ascii="Times New Roman" w:hAnsi="Times New Roman"/>
        </w:rPr>
        <w:t xml:space="preserve">за </w:t>
      </w:r>
      <w:r w:rsidRPr="006519A5">
        <w:rPr>
          <w:rFonts w:ascii="Times New Roman" w:hAnsi="Times New Roman"/>
          <w:bCs/>
        </w:rPr>
        <w:t>преузимање профактуре</w:t>
      </w:r>
      <w:r w:rsidRPr="006519A5">
        <w:rPr>
          <w:rFonts w:ascii="Times New Roman" w:hAnsi="Times New Roman"/>
          <w:bCs/>
          <w:lang w:val="sr-Cyrl-RS"/>
        </w:rPr>
        <w:t xml:space="preserve"> је до </w:t>
      </w:r>
      <w:r w:rsidR="00DD4C69">
        <w:rPr>
          <w:rFonts w:ascii="Times New Roman" w:hAnsi="Times New Roman"/>
          <w:bCs/>
          <w:lang w:val="sr-Cyrl-RS"/>
        </w:rPr>
        <w:t>16</w:t>
      </w:r>
      <w:r w:rsidRPr="006519A5">
        <w:rPr>
          <w:rFonts w:ascii="Times New Roman" w:hAnsi="Times New Roman"/>
          <w:bCs/>
          <w:lang w:val="sr-Cyrl-RS"/>
        </w:rPr>
        <w:t xml:space="preserve">:00 часова </w:t>
      </w:r>
      <w:r w:rsidR="006519A5">
        <w:rPr>
          <w:rFonts w:ascii="Times New Roman" w:hAnsi="Times New Roman"/>
          <w:bCs/>
          <w:lang w:val="sr-Cyrl-RS"/>
        </w:rPr>
        <w:t xml:space="preserve">дана </w:t>
      </w:r>
      <w:r w:rsidR="009E7E7F">
        <w:rPr>
          <w:rFonts w:ascii="Times New Roman" w:hAnsi="Times New Roman"/>
          <w:b/>
          <w:lang w:val="sr-Latn-RS"/>
        </w:rPr>
        <w:t>19.06</w:t>
      </w:r>
      <w:r w:rsidR="00F432D0" w:rsidRPr="00F432D0">
        <w:rPr>
          <w:rFonts w:ascii="Times New Roman" w:hAnsi="Times New Roman"/>
          <w:b/>
          <w:lang w:val="sr-Cyrl-RS"/>
        </w:rPr>
        <w:t>.2026</w:t>
      </w:r>
      <w:r w:rsidRPr="00F432D0">
        <w:rPr>
          <w:rFonts w:ascii="Times New Roman" w:hAnsi="Times New Roman"/>
          <w:b/>
          <w:lang w:val="sr-Cyrl-RS"/>
        </w:rPr>
        <w:t>. године</w:t>
      </w:r>
      <w:r w:rsidRPr="006519A5">
        <w:rPr>
          <w:rFonts w:ascii="Times New Roman" w:hAnsi="Times New Roman"/>
          <w:bCs/>
          <w:lang w:val="sr-Cyrl-RS"/>
        </w:rPr>
        <w:t xml:space="preserve">. Крајњи рок за </w:t>
      </w:r>
      <w:r w:rsidRPr="006519A5">
        <w:rPr>
          <w:rFonts w:ascii="Times New Roman" w:hAnsi="Times New Roman"/>
          <w:bCs/>
        </w:rPr>
        <w:t xml:space="preserve">уплату и преузимање продајне документације </w:t>
      </w:r>
      <w:r w:rsidRPr="006519A5">
        <w:rPr>
          <w:rFonts w:ascii="Times New Roman" w:hAnsi="Times New Roman"/>
        </w:rPr>
        <w:t>истиче закључно са</w:t>
      </w:r>
      <w:r w:rsidRPr="006519A5">
        <w:rPr>
          <w:rFonts w:ascii="Times New Roman" w:hAnsi="Times New Roman"/>
          <w:lang w:val="sr-Cyrl-RS"/>
        </w:rPr>
        <w:t xml:space="preserve"> </w:t>
      </w:r>
      <w:r w:rsidR="009E7E7F">
        <w:rPr>
          <w:rFonts w:ascii="Times New Roman" w:hAnsi="Times New Roman"/>
          <w:b/>
          <w:bCs/>
          <w:lang w:val="sr-Latn-RS"/>
        </w:rPr>
        <w:t>19.06</w:t>
      </w:r>
      <w:r w:rsidR="00F432D0" w:rsidRPr="00F432D0">
        <w:rPr>
          <w:rFonts w:ascii="Times New Roman" w:hAnsi="Times New Roman"/>
          <w:b/>
          <w:bCs/>
          <w:lang w:val="sr-Cyrl-RS"/>
        </w:rPr>
        <w:t>.2026.</w:t>
      </w:r>
      <w:r w:rsidRPr="00F432D0">
        <w:rPr>
          <w:rFonts w:ascii="Times New Roman" w:hAnsi="Times New Roman"/>
          <w:b/>
          <w:bCs/>
          <w:lang w:val="sr-Cyrl-RS"/>
        </w:rPr>
        <w:t xml:space="preserve"> године</w:t>
      </w:r>
      <w:r w:rsidRPr="006519A5">
        <w:rPr>
          <w:rFonts w:ascii="Times New Roman" w:hAnsi="Times New Roman"/>
          <w:lang w:val="sr-Cyrl-RS"/>
        </w:rPr>
        <w:t>.</w:t>
      </w:r>
    </w:p>
    <w:p w14:paraId="0C00BDD3" w14:textId="6EBB54AE" w:rsidR="00B523A4" w:rsidRPr="00846334" w:rsidRDefault="00B523A4" w:rsidP="00B523A4">
      <w:pPr>
        <w:numPr>
          <w:ilvl w:val="0"/>
          <w:numId w:val="5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 xml:space="preserve">уплате </w:t>
      </w:r>
      <w:r w:rsidRPr="00846334">
        <w:rPr>
          <w:b/>
          <w:sz w:val="22"/>
          <w:szCs w:val="22"/>
          <w:lang w:val="sr-Cyrl-CS"/>
        </w:rPr>
        <w:t>депозит</w:t>
      </w:r>
      <w:r w:rsidRPr="00846334">
        <w:rPr>
          <w:sz w:val="22"/>
          <w:szCs w:val="22"/>
          <w:lang w:val="sr-Cyrl-CS"/>
        </w:rPr>
        <w:t xml:space="preserve"> у износу од </w:t>
      </w:r>
      <w:r w:rsidR="006519A5">
        <w:rPr>
          <w:b/>
          <w:sz w:val="22"/>
          <w:szCs w:val="22"/>
          <w:lang w:val="sr-Latn-RS"/>
        </w:rPr>
        <w:t xml:space="preserve"> </w:t>
      </w:r>
      <w:r w:rsidR="00F432D0">
        <w:rPr>
          <w:b/>
          <w:sz w:val="22"/>
          <w:szCs w:val="22"/>
          <w:lang w:val="sr-Cyrl-RS"/>
        </w:rPr>
        <w:t>14.192.491,15</w:t>
      </w:r>
      <w:r w:rsidRPr="00846334">
        <w:rPr>
          <w:b/>
          <w:sz w:val="22"/>
          <w:szCs w:val="22"/>
          <w:lang w:val="sr-Latn-RS"/>
        </w:rPr>
        <w:t xml:space="preserve"> </w:t>
      </w:r>
      <w:r w:rsidRPr="00846334">
        <w:rPr>
          <w:b/>
          <w:sz w:val="22"/>
          <w:szCs w:val="22"/>
          <w:lang w:val="sr-Cyrl-CS"/>
        </w:rPr>
        <w:t>динара</w:t>
      </w:r>
      <w:r w:rsidRPr="00846334">
        <w:rPr>
          <w:sz w:val="22"/>
          <w:szCs w:val="22"/>
          <w:lang w:val="sr-Cyrl-CS"/>
        </w:rPr>
        <w:t xml:space="preserve"> на текући рачун стечајног дужника број: </w:t>
      </w:r>
      <w:r w:rsidR="00292805" w:rsidRPr="00292805">
        <w:rPr>
          <w:b/>
          <w:color w:val="102239"/>
          <w:sz w:val="22"/>
          <w:szCs w:val="22"/>
        </w:rPr>
        <w:t>160-0000000354878-1</w:t>
      </w:r>
      <w:r w:rsidR="00292805" w:rsidRPr="00D9027E">
        <w:rPr>
          <w:b/>
          <w:color w:val="102239"/>
          <w:sz w:val="22"/>
          <w:szCs w:val="22"/>
        </w:rPr>
        <w:t>7</w:t>
      </w:r>
      <w:r w:rsidR="00292805">
        <w:rPr>
          <w:b/>
          <w:sz w:val="22"/>
          <w:szCs w:val="22"/>
          <w:lang w:val="sr-Cyrl-RS"/>
        </w:rPr>
        <w:t xml:space="preserve"> </w:t>
      </w:r>
      <w:r w:rsidRPr="00292805">
        <w:rPr>
          <w:sz w:val="22"/>
          <w:szCs w:val="22"/>
          <w:lang w:val="sr-Cyrl-CS"/>
        </w:rPr>
        <w:t>отворен код</w:t>
      </w:r>
      <w:r w:rsidRPr="00846334">
        <w:rPr>
          <w:b/>
          <w:sz w:val="22"/>
          <w:szCs w:val="22"/>
          <w:lang w:val="sr-Cyrl-CS"/>
        </w:rPr>
        <w:t xml:space="preserve"> </w:t>
      </w:r>
      <w:r w:rsidR="00292805">
        <w:rPr>
          <w:b/>
          <w:sz w:val="22"/>
          <w:szCs w:val="22"/>
          <w:lang w:val="sr-Latn-RS"/>
        </w:rPr>
        <w:t>Banca Intesa</w:t>
      </w:r>
      <w:r w:rsidRPr="00846334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RS"/>
        </w:rPr>
        <w:t>ad</w:t>
      </w:r>
      <w:r w:rsidRPr="00846334">
        <w:rPr>
          <w:b/>
          <w:sz w:val="22"/>
          <w:szCs w:val="22"/>
          <w:lang w:val="sr-Cyrl-RS"/>
        </w:rPr>
        <w:t xml:space="preserve"> </w:t>
      </w:r>
      <w:r>
        <w:rPr>
          <w:b/>
          <w:sz w:val="22"/>
          <w:szCs w:val="22"/>
          <w:lang w:val="sr-Cyrl-CS"/>
        </w:rPr>
        <w:t>Beograd</w:t>
      </w:r>
      <w:r w:rsidRPr="00846334">
        <w:rPr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 (рок за уплату депозита је </w:t>
      </w:r>
      <w:r w:rsidR="009E7E7F">
        <w:rPr>
          <w:b/>
          <w:sz w:val="22"/>
          <w:szCs w:val="22"/>
          <w:lang w:val="sr-Latn-RS"/>
        </w:rPr>
        <w:t>23.06</w:t>
      </w:r>
      <w:r w:rsidR="00F432D0">
        <w:rPr>
          <w:b/>
          <w:sz w:val="22"/>
          <w:szCs w:val="22"/>
          <w:lang w:val="sr-Cyrl-RS"/>
        </w:rPr>
        <w:t>.2026</w:t>
      </w:r>
      <w:r w:rsidRPr="00846334">
        <w:rPr>
          <w:b/>
          <w:sz w:val="22"/>
          <w:szCs w:val="22"/>
          <w:lang w:val="sr-Latn-CS"/>
        </w:rPr>
        <w:t>.</w:t>
      </w:r>
      <w:r w:rsidRPr="00846334">
        <w:rPr>
          <w:b/>
          <w:sz w:val="22"/>
          <w:szCs w:val="22"/>
          <w:lang w:val="sr-Cyrl-RS"/>
        </w:rPr>
        <w:t xml:space="preserve"> </w:t>
      </w:r>
      <w:r w:rsidRPr="00846334">
        <w:rPr>
          <w:b/>
          <w:sz w:val="22"/>
          <w:szCs w:val="22"/>
          <w:lang w:val="sr-Cyrl-CS"/>
        </w:rPr>
        <w:t>године</w:t>
      </w:r>
      <w:r w:rsidRPr="00846334">
        <w:rPr>
          <w:sz w:val="22"/>
          <w:szCs w:val="22"/>
          <w:lang w:val="sr-Cyrl-CS"/>
        </w:rPr>
        <w:t>). У случају да се као депозит положи првокласна банкарска гаранција, ор</w:t>
      </w:r>
      <w:r w:rsidRPr="00846334">
        <w:rPr>
          <w:sz w:val="22"/>
          <w:szCs w:val="22"/>
          <w:lang w:val="sr-Latn-CS"/>
        </w:rPr>
        <w:t>и</w:t>
      </w:r>
      <w:r w:rsidRPr="00846334">
        <w:rPr>
          <w:sz w:val="22"/>
          <w:szCs w:val="22"/>
          <w:lang w:val="sr-Cyrl-CS"/>
        </w:rPr>
        <w:t xml:space="preserve">гинал исте се ради провере мора доставити искључиво лично Служби финансија Агенције за лиценцирање стечајних управника, Београд, Теразије </w:t>
      </w:r>
      <w:r w:rsidR="0052070F">
        <w:rPr>
          <w:sz w:val="22"/>
          <w:szCs w:val="22"/>
          <w:lang w:val="sr-Cyrl-CS"/>
        </w:rPr>
        <w:t>8</w:t>
      </w:r>
      <w:r w:rsidRPr="00846334">
        <w:rPr>
          <w:sz w:val="22"/>
          <w:szCs w:val="22"/>
          <w:lang w:val="sr-Cyrl-CS"/>
        </w:rPr>
        <w:t xml:space="preserve">, </w:t>
      </w:r>
      <w:r w:rsidR="0052070F">
        <w:rPr>
          <w:sz w:val="22"/>
          <w:szCs w:val="22"/>
          <w:lang w:val="sr-Cyrl-CS"/>
        </w:rPr>
        <w:t>4</w:t>
      </w:r>
      <w:r w:rsidRPr="00846334">
        <w:rPr>
          <w:sz w:val="22"/>
          <w:szCs w:val="22"/>
          <w:lang w:val="sr-Cyrl-CS"/>
        </w:rPr>
        <w:t>. спрат, најкасније до</w:t>
      </w:r>
      <w:r w:rsidRPr="00846334">
        <w:rPr>
          <w:b/>
          <w:sz w:val="22"/>
          <w:szCs w:val="22"/>
          <w:lang w:val="sr-Latn-CS"/>
        </w:rPr>
        <w:t xml:space="preserve"> </w:t>
      </w:r>
      <w:r w:rsidR="009E7E7F">
        <w:rPr>
          <w:b/>
          <w:sz w:val="22"/>
          <w:szCs w:val="22"/>
          <w:lang w:val="sr-Latn-RS"/>
        </w:rPr>
        <w:t>23.06</w:t>
      </w:r>
      <w:r w:rsidR="00F432D0">
        <w:rPr>
          <w:b/>
          <w:sz w:val="22"/>
          <w:szCs w:val="22"/>
          <w:lang w:val="sr-Cyrl-RS"/>
        </w:rPr>
        <w:t>.2026</w:t>
      </w:r>
      <w:r w:rsidRPr="00846334">
        <w:rPr>
          <w:b/>
          <w:sz w:val="22"/>
          <w:szCs w:val="22"/>
          <w:lang w:val="sr-Cyrl-RS"/>
        </w:rPr>
        <w:t xml:space="preserve">. </w:t>
      </w:r>
      <w:r w:rsidRPr="00846334">
        <w:rPr>
          <w:b/>
          <w:sz w:val="22"/>
          <w:szCs w:val="22"/>
          <w:lang w:val="sr-Cyrl-CS"/>
        </w:rPr>
        <w:t>г</w:t>
      </w:r>
      <w:r w:rsidRPr="00846334">
        <w:rPr>
          <w:b/>
          <w:sz w:val="22"/>
          <w:szCs w:val="22"/>
          <w:lang w:val="sr-Latn-CS"/>
        </w:rPr>
        <w:t>одине</w:t>
      </w:r>
      <w:r w:rsidRPr="00846334">
        <w:rPr>
          <w:sz w:val="22"/>
          <w:szCs w:val="22"/>
          <w:lang w:val="sr-Cyrl-CS"/>
        </w:rPr>
        <w:t xml:space="preserve"> до </w:t>
      </w:r>
      <w:r w:rsidRPr="00846334">
        <w:rPr>
          <w:b/>
          <w:sz w:val="22"/>
          <w:szCs w:val="22"/>
          <w:lang w:val="sr-Cyrl-CS"/>
        </w:rPr>
        <w:t>15:00 часова</w:t>
      </w:r>
      <w:r w:rsidRPr="00846334">
        <w:rPr>
          <w:sz w:val="22"/>
          <w:szCs w:val="22"/>
          <w:lang w:val="sr-Cyrl-CS"/>
        </w:rPr>
        <w:t xml:space="preserve"> по београдском времену</w:t>
      </w:r>
      <w:r w:rsidRPr="00846334">
        <w:rPr>
          <w:sz w:val="22"/>
          <w:szCs w:val="22"/>
          <w:lang w:val="ru-RU"/>
        </w:rPr>
        <w:t xml:space="preserve">, </w:t>
      </w:r>
      <w:r w:rsidRPr="00846334">
        <w:rPr>
          <w:sz w:val="22"/>
          <w:szCs w:val="22"/>
          <w:lang w:val="sr-Cyrl-CS"/>
        </w:rPr>
        <w:t>док</w:t>
      </w:r>
      <w:r w:rsidRPr="00846334">
        <w:rPr>
          <w:sz w:val="22"/>
          <w:szCs w:val="22"/>
          <w:lang w:val="ru-RU"/>
        </w:rPr>
        <w:t xml:space="preserve"> </w:t>
      </w:r>
      <w:r w:rsidRPr="00846334">
        <w:rPr>
          <w:sz w:val="22"/>
          <w:szCs w:val="22"/>
          <w:lang w:val="sr-Cyrl-CS"/>
        </w:rPr>
        <w:t xml:space="preserve">се копија гаранције доставља </w:t>
      </w:r>
      <w:r w:rsidRPr="00BE7845">
        <w:rPr>
          <w:sz w:val="22"/>
          <w:szCs w:val="22"/>
          <w:lang w:val="sr-Cyrl-CS"/>
        </w:rPr>
        <w:t xml:space="preserve">поверенику Агенције за лиценцирање стечајних управника </w:t>
      </w:r>
      <w:r>
        <w:rPr>
          <w:sz w:val="22"/>
          <w:szCs w:val="22"/>
          <w:lang w:val="sr-Cyrl-CS"/>
        </w:rPr>
        <w:t>з</w:t>
      </w:r>
      <w:r w:rsidRPr="00846334">
        <w:rPr>
          <w:sz w:val="22"/>
          <w:szCs w:val="22"/>
          <w:lang w:val="sr-Cyrl-CS"/>
        </w:rPr>
        <w:t xml:space="preserve">аједно са обрасцем пријаве за учешће у продаји. 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9E7E7F">
        <w:rPr>
          <w:b/>
          <w:sz w:val="22"/>
          <w:szCs w:val="22"/>
          <w:lang w:val="sr-Latn-RS"/>
        </w:rPr>
        <w:t>30.08.2026</w:t>
      </w:r>
      <w:r w:rsidR="00F432D0">
        <w:rPr>
          <w:b/>
          <w:sz w:val="22"/>
          <w:szCs w:val="22"/>
          <w:lang w:val="sr-Cyrl-RS"/>
        </w:rPr>
        <w:t>.</w:t>
      </w:r>
      <w:r w:rsidRPr="00846334">
        <w:rPr>
          <w:b/>
          <w:sz w:val="22"/>
          <w:szCs w:val="22"/>
          <w:lang w:val="sr-Cyrl-CS"/>
        </w:rPr>
        <w:t xml:space="preserve"> године</w:t>
      </w:r>
      <w:r w:rsidRPr="00846334">
        <w:rPr>
          <w:sz w:val="22"/>
          <w:szCs w:val="22"/>
          <w:lang w:val="sr-Latn-CS"/>
        </w:rPr>
        <w:t>.</w:t>
      </w:r>
    </w:p>
    <w:p w14:paraId="6B7F9B25" w14:textId="67FC15F4" w:rsidR="00B523A4" w:rsidRPr="00F432D0" w:rsidRDefault="00B523A4" w:rsidP="00F432D0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lang w:val="sr-Cyrl-CS"/>
        </w:rPr>
      </w:pPr>
      <w:r w:rsidRPr="00F432D0">
        <w:rPr>
          <w:rFonts w:ascii="Times New Roman" w:hAnsi="Times New Roman"/>
          <w:lang w:val="sr-Cyrl-CS"/>
        </w:rPr>
        <w:t>потпишу изјаву о губитку права на повраћај депозита. Изјава чини саставни део продајне документације</w:t>
      </w:r>
      <w:r w:rsidRPr="00F432D0">
        <w:rPr>
          <w:rFonts w:ascii="Times New Roman" w:hAnsi="Times New Roman"/>
          <w:lang w:val="sr-Latn-CS"/>
        </w:rPr>
        <w:t>.</w:t>
      </w:r>
    </w:p>
    <w:p w14:paraId="196FC059" w14:textId="61BA6591" w:rsidR="00B523A4" w:rsidRPr="00846334" w:rsidRDefault="00B523A4" w:rsidP="00B523A4">
      <w:p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 xml:space="preserve">Имовина се купује у виђеном стању и може се разгледати након откупа продајне документације, </w:t>
      </w:r>
      <w:r w:rsidRPr="00846334">
        <w:rPr>
          <w:sz w:val="22"/>
          <w:szCs w:val="22"/>
          <w:lang w:val="ru-RU"/>
        </w:rPr>
        <w:t xml:space="preserve">сваким радним даном од </w:t>
      </w:r>
      <w:r w:rsidRPr="00846334">
        <w:rPr>
          <w:b/>
          <w:sz w:val="22"/>
          <w:szCs w:val="22"/>
          <w:lang w:val="ru-RU"/>
        </w:rPr>
        <w:t>9:00 до 16:00 часова</w:t>
      </w:r>
      <w:r w:rsidRPr="00846334">
        <w:rPr>
          <w:sz w:val="22"/>
          <w:szCs w:val="22"/>
          <w:lang w:val="ru-RU"/>
        </w:rPr>
        <w:t xml:space="preserve">, </w:t>
      </w:r>
      <w:r w:rsidRPr="00846334">
        <w:rPr>
          <w:sz w:val="22"/>
          <w:szCs w:val="22"/>
          <w:lang w:val="sr-Cyrl-CS"/>
        </w:rPr>
        <w:t>а најкасније до</w:t>
      </w:r>
      <w:r w:rsidRPr="00846334">
        <w:rPr>
          <w:b/>
          <w:sz w:val="22"/>
          <w:szCs w:val="22"/>
          <w:lang w:val="sr-Latn-CS"/>
        </w:rPr>
        <w:t xml:space="preserve"> </w:t>
      </w:r>
      <w:r w:rsidR="009E7E7F">
        <w:rPr>
          <w:b/>
          <w:sz w:val="22"/>
          <w:szCs w:val="22"/>
          <w:lang w:val="sr-Latn-RS"/>
        </w:rPr>
        <w:t>23.06.</w:t>
      </w:r>
      <w:r w:rsidR="00F432D0">
        <w:rPr>
          <w:b/>
          <w:sz w:val="22"/>
          <w:szCs w:val="22"/>
          <w:lang w:val="sr-Latn-RS"/>
        </w:rPr>
        <w:t>2026</w:t>
      </w:r>
      <w:r w:rsidRPr="00846334">
        <w:rPr>
          <w:b/>
          <w:sz w:val="22"/>
          <w:szCs w:val="22"/>
          <w:lang w:val="sr-Cyrl-RS"/>
        </w:rPr>
        <w:t>. године</w:t>
      </w:r>
      <w:r w:rsidRPr="00846334">
        <w:rPr>
          <w:sz w:val="22"/>
          <w:szCs w:val="22"/>
          <w:lang w:val="ru-RU"/>
        </w:rPr>
        <w:t xml:space="preserve"> (уз претходну најаву поверенику стечајног управника</w:t>
      </w:r>
      <w:r w:rsidRPr="00846334">
        <w:rPr>
          <w:sz w:val="22"/>
          <w:szCs w:val="22"/>
          <w:lang w:val="sr-Cyrl-RS"/>
        </w:rPr>
        <w:t>)</w:t>
      </w:r>
      <w:r w:rsidRPr="00846334">
        <w:rPr>
          <w:sz w:val="22"/>
          <w:szCs w:val="22"/>
          <w:lang w:val="sr-Cyrl-CS"/>
        </w:rPr>
        <w:t>.</w:t>
      </w:r>
    </w:p>
    <w:p w14:paraId="6F32CB01" w14:textId="77777777" w:rsidR="00B523A4" w:rsidRPr="00846334" w:rsidRDefault="00B523A4" w:rsidP="00B523A4">
      <w:pPr>
        <w:jc w:val="both"/>
        <w:rPr>
          <w:sz w:val="22"/>
          <w:szCs w:val="22"/>
          <w:lang w:val="sr-Cyrl-CS"/>
        </w:rPr>
      </w:pPr>
    </w:p>
    <w:p w14:paraId="0AA2D9CE" w14:textId="1DA27CDC" w:rsidR="00B523A4" w:rsidRPr="00846334" w:rsidRDefault="00B523A4" w:rsidP="00B523A4">
      <w:pPr>
        <w:jc w:val="both"/>
        <w:rPr>
          <w:sz w:val="22"/>
          <w:szCs w:val="22"/>
          <w:lang w:val="sr-Cyrl-BA"/>
        </w:rPr>
      </w:pPr>
      <w:r w:rsidRPr="00846334">
        <w:rPr>
          <w:sz w:val="22"/>
          <w:szCs w:val="22"/>
          <w:lang w:val="sr-Cyrl-RS"/>
        </w:rPr>
        <w:t>Н</w:t>
      </w:r>
      <w:r w:rsidRPr="00846334">
        <w:rPr>
          <w:sz w:val="22"/>
          <w:szCs w:val="22"/>
          <w:lang w:val="sr-Cyrl-CS"/>
        </w:rPr>
        <w:t xml:space="preserve">ајкасније </w:t>
      </w:r>
      <w:r w:rsidRPr="00846334">
        <w:rPr>
          <w:sz w:val="22"/>
          <w:szCs w:val="22"/>
          <w:lang w:val="sr-Cyrl-RS"/>
        </w:rPr>
        <w:t xml:space="preserve">до </w:t>
      </w:r>
      <w:r w:rsidR="009E7E7F">
        <w:rPr>
          <w:b/>
          <w:sz w:val="22"/>
          <w:szCs w:val="22"/>
          <w:lang w:val="sr-Latn-RS"/>
        </w:rPr>
        <w:t>26.06</w:t>
      </w:r>
      <w:r w:rsidR="00F432D0">
        <w:rPr>
          <w:b/>
          <w:sz w:val="22"/>
          <w:szCs w:val="22"/>
          <w:lang w:val="sr-Latn-RS"/>
        </w:rPr>
        <w:t>.2026</w:t>
      </w:r>
      <w:r w:rsidRPr="00846334">
        <w:rPr>
          <w:b/>
          <w:bCs/>
          <w:sz w:val="22"/>
          <w:szCs w:val="22"/>
          <w:lang w:val="sr-Cyrl-RS"/>
        </w:rPr>
        <w:t>.</w:t>
      </w:r>
      <w:r w:rsidRPr="00846334">
        <w:rPr>
          <w:b/>
          <w:bCs/>
          <w:sz w:val="22"/>
          <w:szCs w:val="22"/>
          <w:lang w:val="sr-Cyrl-CS"/>
        </w:rPr>
        <w:t xml:space="preserve"> године</w:t>
      </w:r>
      <w:r w:rsidRPr="00846334">
        <w:rPr>
          <w:sz w:val="22"/>
          <w:szCs w:val="22"/>
          <w:lang w:val="sr-Cyrl-CS"/>
        </w:rPr>
        <w:t xml:space="preserve"> до 15</w:t>
      </w:r>
      <w:r w:rsidR="00F432D0">
        <w:rPr>
          <w:sz w:val="22"/>
          <w:szCs w:val="22"/>
          <w:lang w:val="sr-Latn-RS"/>
        </w:rPr>
        <w:t>:</w:t>
      </w:r>
      <w:r w:rsidRPr="00846334">
        <w:rPr>
          <w:sz w:val="22"/>
          <w:szCs w:val="22"/>
          <w:lang w:val="sr-Cyrl-CS"/>
        </w:rPr>
        <w:t xml:space="preserve">00 часова, </w:t>
      </w:r>
      <w:r w:rsidR="001F537A">
        <w:rPr>
          <w:sz w:val="22"/>
          <w:szCs w:val="22"/>
          <w:lang w:val="sr-Cyrl-RS"/>
        </w:rPr>
        <w:t>п</w:t>
      </w:r>
      <w:r w:rsidRPr="00846334">
        <w:rPr>
          <w:sz w:val="22"/>
          <w:szCs w:val="22"/>
          <w:lang w:val="sr-Cyrl-CS"/>
        </w:rPr>
        <w:t>отенцијални купци, ради правовремене евиденције, морају предати поверенику Агенције за лиценцирање стечајних управника:</w:t>
      </w:r>
      <w:r w:rsidRPr="00846334">
        <w:rPr>
          <w:sz w:val="22"/>
          <w:szCs w:val="22"/>
          <w:lang w:val="sr-Cyrl-BA"/>
        </w:rPr>
        <w:t xml:space="preserve"> попуњен </w:t>
      </w:r>
      <w:r w:rsidRPr="00846334">
        <w:rPr>
          <w:sz w:val="22"/>
          <w:szCs w:val="22"/>
          <w:lang w:val="sr-Cyrl-CS"/>
        </w:rPr>
        <w:t>образац пријаве за учешће</w:t>
      </w:r>
      <w:r w:rsidRPr="00846334">
        <w:rPr>
          <w:sz w:val="22"/>
          <w:szCs w:val="22"/>
          <w:lang w:val="sr-Cyrl-BA"/>
        </w:rPr>
        <w:t xml:space="preserve"> на јавном надметању, доказ о уплати депозита или копију банкарске гаранције, потписану изјаву о губитку права на повраћај депозита, </w:t>
      </w:r>
      <w:r w:rsidRPr="00846334">
        <w:rPr>
          <w:sz w:val="22"/>
          <w:szCs w:val="22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846334">
        <w:rPr>
          <w:sz w:val="22"/>
          <w:szCs w:val="22"/>
          <w:lang w:val="sr-Cyrl-BA"/>
        </w:rPr>
        <w:t xml:space="preserve">, </w:t>
      </w:r>
      <w:r w:rsidR="004748CD">
        <w:rPr>
          <w:sz w:val="22"/>
          <w:szCs w:val="22"/>
          <w:lang w:val="sr-Cyrl-BA"/>
        </w:rPr>
        <w:t xml:space="preserve">оверено </w:t>
      </w:r>
      <w:r w:rsidRPr="00846334">
        <w:rPr>
          <w:sz w:val="22"/>
          <w:szCs w:val="22"/>
          <w:lang w:val="sr-Cyrl-BA"/>
        </w:rPr>
        <w:t>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248A71CE" w14:textId="77777777" w:rsidR="00B523A4" w:rsidRPr="00846334" w:rsidRDefault="00B523A4" w:rsidP="00B523A4">
      <w:pPr>
        <w:jc w:val="both"/>
        <w:rPr>
          <w:sz w:val="22"/>
          <w:szCs w:val="22"/>
          <w:lang w:val="ru-RU"/>
        </w:rPr>
      </w:pPr>
    </w:p>
    <w:p w14:paraId="41FD8C94" w14:textId="1579E78B" w:rsidR="006519A5" w:rsidRDefault="00B523A4" w:rsidP="00B523A4">
      <w:pPr>
        <w:jc w:val="both"/>
        <w:rPr>
          <w:b/>
          <w:sz w:val="22"/>
          <w:szCs w:val="22"/>
          <w:lang w:val="sr-Latn-RS"/>
        </w:rPr>
      </w:pPr>
      <w:r w:rsidRPr="00846334">
        <w:rPr>
          <w:b/>
          <w:sz w:val="22"/>
          <w:szCs w:val="22"/>
          <w:lang w:val="sr-Cyrl-CS"/>
        </w:rPr>
        <w:t>Јавно надметање</w:t>
      </w:r>
      <w:r w:rsidRPr="00846334">
        <w:rPr>
          <w:sz w:val="22"/>
          <w:szCs w:val="22"/>
          <w:lang w:val="sr-Cyrl-CS"/>
        </w:rPr>
        <w:t xml:space="preserve"> одржаће се дана </w:t>
      </w:r>
      <w:r w:rsidRPr="00846334">
        <w:rPr>
          <w:b/>
          <w:sz w:val="22"/>
          <w:szCs w:val="22"/>
          <w:lang w:val="sr-Latn-CS"/>
        </w:rPr>
        <w:t xml:space="preserve"> </w:t>
      </w:r>
      <w:r w:rsidR="009E7E7F">
        <w:rPr>
          <w:b/>
          <w:sz w:val="22"/>
          <w:szCs w:val="22"/>
          <w:lang w:val="sr-Latn-RS"/>
        </w:rPr>
        <w:t>30.06</w:t>
      </w:r>
      <w:r w:rsidR="00BA0946">
        <w:rPr>
          <w:b/>
          <w:sz w:val="22"/>
          <w:szCs w:val="22"/>
          <w:lang w:val="sr-Latn-RS"/>
        </w:rPr>
        <w:t>.</w:t>
      </w:r>
      <w:r w:rsidR="00F432D0">
        <w:rPr>
          <w:b/>
          <w:sz w:val="22"/>
          <w:szCs w:val="22"/>
          <w:lang w:val="sr-Latn-RS"/>
        </w:rPr>
        <w:t>2026</w:t>
      </w:r>
      <w:r w:rsidRPr="00846334">
        <w:rPr>
          <w:b/>
          <w:sz w:val="22"/>
          <w:szCs w:val="22"/>
          <w:lang w:val="sr-Latn-CS"/>
        </w:rPr>
        <w:t>.</w:t>
      </w:r>
      <w:r w:rsidRPr="00846334">
        <w:rPr>
          <w:b/>
          <w:sz w:val="22"/>
          <w:szCs w:val="22"/>
          <w:lang w:val="sr-Cyrl-RS"/>
        </w:rPr>
        <w:t xml:space="preserve"> године</w:t>
      </w:r>
      <w:r w:rsidRPr="00846334">
        <w:rPr>
          <w:sz w:val="22"/>
          <w:szCs w:val="22"/>
          <w:lang w:val="sr-Cyrl-CS"/>
        </w:rPr>
        <w:t xml:space="preserve"> </w:t>
      </w:r>
      <w:r w:rsidRPr="00846334">
        <w:rPr>
          <w:b/>
          <w:sz w:val="22"/>
          <w:szCs w:val="22"/>
          <w:lang w:val="sr-Cyrl-CS"/>
        </w:rPr>
        <w:t xml:space="preserve">у </w:t>
      </w:r>
      <w:r>
        <w:rPr>
          <w:b/>
          <w:sz w:val="22"/>
          <w:szCs w:val="22"/>
          <w:lang w:val="sr-Latn-RS"/>
        </w:rPr>
        <w:t>11</w:t>
      </w:r>
      <w:r w:rsidRPr="00846334">
        <w:rPr>
          <w:b/>
          <w:sz w:val="22"/>
          <w:szCs w:val="22"/>
          <w:lang w:val="sr-Cyrl-CS"/>
        </w:rPr>
        <w:t>:00 часова</w:t>
      </w:r>
      <w:r w:rsidRPr="00846334">
        <w:rPr>
          <w:sz w:val="22"/>
          <w:szCs w:val="22"/>
          <w:lang w:val="sr-Cyrl-CS"/>
        </w:rPr>
        <w:t xml:space="preserve"> на следећој адреси: </w:t>
      </w:r>
      <w:r w:rsidRPr="007621F0">
        <w:rPr>
          <w:b/>
          <w:noProof/>
          <w:sz w:val="22"/>
          <w:szCs w:val="22"/>
          <w:lang w:val="sr-Cyrl-RS"/>
        </w:rPr>
        <w:t>Агенција за лиценцирање стечајних управника, Центар за стечај – Подручна јединица за стечај у Новом Саду, Булевар Михајла Пупина бр. 10, V спрат, Нови Сад</w:t>
      </w:r>
      <w:r>
        <w:rPr>
          <w:b/>
          <w:sz w:val="22"/>
          <w:szCs w:val="22"/>
          <w:lang w:val="sr-Latn-RS"/>
        </w:rPr>
        <w:t xml:space="preserve">. </w:t>
      </w:r>
    </w:p>
    <w:p w14:paraId="20AC6815" w14:textId="77777777" w:rsidR="006519A5" w:rsidRDefault="006519A5" w:rsidP="00B523A4">
      <w:pPr>
        <w:jc w:val="both"/>
        <w:rPr>
          <w:b/>
          <w:sz w:val="22"/>
          <w:szCs w:val="22"/>
          <w:lang w:val="sr-Latn-RS"/>
        </w:rPr>
      </w:pPr>
    </w:p>
    <w:p w14:paraId="6E3CA7A0" w14:textId="3706F331" w:rsidR="00B523A4" w:rsidRPr="00846334" w:rsidRDefault="00B523A4" w:rsidP="00B523A4">
      <w:pPr>
        <w:jc w:val="both"/>
        <w:rPr>
          <w:b/>
          <w:sz w:val="22"/>
          <w:szCs w:val="22"/>
          <w:lang w:val="sr-Cyrl-CS"/>
        </w:rPr>
      </w:pPr>
      <w:r w:rsidRPr="00846334">
        <w:rPr>
          <w:b/>
          <w:sz w:val="22"/>
          <w:szCs w:val="22"/>
          <w:lang w:val="sr-Cyrl-CS"/>
        </w:rPr>
        <w:t>Регистрација учесника</w:t>
      </w:r>
      <w:r w:rsidRPr="00846334">
        <w:rPr>
          <w:sz w:val="22"/>
          <w:szCs w:val="22"/>
          <w:lang w:val="sr-Cyrl-CS"/>
        </w:rPr>
        <w:t xml:space="preserve"> почиње два сата пре почетка јавног надметања, а завршава се 10 минута пре почетка јавног надметања, односно у периоду од </w:t>
      </w:r>
      <w:r>
        <w:rPr>
          <w:b/>
          <w:bCs/>
          <w:sz w:val="22"/>
          <w:szCs w:val="22"/>
          <w:lang w:val="sr-Latn-RS"/>
        </w:rPr>
        <w:t>09</w:t>
      </w:r>
      <w:r w:rsidRPr="00846334">
        <w:rPr>
          <w:b/>
          <w:bCs/>
          <w:sz w:val="22"/>
          <w:szCs w:val="22"/>
          <w:lang w:val="sr-Cyrl-RS"/>
        </w:rPr>
        <w:t>:00</w:t>
      </w:r>
      <w:r w:rsidRPr="00846334">
        <w:rPr>
          <w:b/>
          <w:sz w:val="22"/>
          <w:szCs w:val="22"/>
          <w:lang w:val="sr-Latn-CS"/>
        </w:rPr>
        <w:t xml:space="preserve"> </w:t>
      </w:r>
      <w:r w:rsidRPr="00846334">
        <w:rPr>
          <w:b/>
          <w:sz w:val="22"/>
          <w:szCs w:val="22"/>
          <w:lang w:val="sr-Cyrl-CS"/>
        </w:rPr>
        <w:t xml:space="preserve">до </w:t>
      </w:r>
      <w:r>
        <w:rPr>
          <w:b/>
          <w:sz w:val="22"/>
          <w:szCs w:val="22"/>
          <w:lang w:val="sr-Latn-RS"/>
        </w:rPr>
        <w:t>10</w:t>
      </w:r>
      <w:r w:rsidRPr="00846334">
        <w:rPr>
          <w:b/>
          <w:sz w:val="22"/>
          <w:szCs w:val="22"/>
          <w:lang w:val="sr-Cyrl-RS"/>
        </w:rPr>
        <w:t>:50</w:t>
      </w:r>
      <w:r w:rsidRPr="00846334">
        <w:rPr>
          <w:b/>
          <w:sz w:val="22"/>
          <w:szCs w:val="22"/>
          <w:lang w:val="sr-Cyrl-CS"/>
        </w:rPr>
        <w:t xml:space="preserve"> часова</w:t>
      </w:r>
      <w:r w:rsidRPr="00846334">
        <w:rPr>
          <w:sz w:val="22"/>
          <w:szCs w:val="22"/>
          <w:lang w:val="sr-Cyrl-CS"/>
        </w:rPr>
        <w:t>, на истој адреси</w:t>
      </w:r>
      <w:r w:rsidRPr="00846334">
        <w:rPr>
          <w:b/>
          <w:sz w:val="22"/>
          <w:szCs w:val="22"/>
          <w:lang w:val="sr-Cyrl-CS"/>
        </w:rPr>
        <w:t>.</w:t>
      </w:r>
    </w:p>
    <w:p w14:paraId="27F7A362" w14:textId="77777777" w:rsidR="00B523A4" w:rsidRPr="00846334" w:rsidRDefault="00B523A4" w:rsidP="00B523A4">
      <w:pPr>
        <w:jc w:val="both"/>
        <w:rPr>
          <w:b/>
          <w:sz w:val="22"/>
          <w:szCs w:val="22"/>
          <w:lang w:val="sr-Cyrl-CS"/>
        </w:rPr>
      </w:pPr>
    </w:p>
    <w:p w14:paraId="62439CA0" w14:textId="77777777" w:rsidR="00B523A4" w:rsidRPr="00846334" w:rsidRDefault="00B523A4" w:rsidP="00B523A4">
      <w:p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Стечајни управник спроводи јавно надметање тако што:</w:t>
      </w:r>
    </w:p>
    <w:p w14:paraId="56DC7E8A" w14:textId="77777777" w:rsidR="00B523A4" w:rsidRPr="00846334" w:rsidRDefault="00B523A4" w:rsidP="00B523A4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присутна);</w:t>
      </w:r>
    </w:p>
    <w:p w14:paraId="63EF5ADC" w14:textId="77777777" w:rsidR="00B523A4" w:rsidRPr="00846334" w:rsidRDefault="00B523A4" w:rsidP="00B523A4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отвара јавно надметање читајући правила надметања;</w:t>
      </w:r>
    </w:p>
    <w:p w14:paraId="707D84E2" w14:textId="77777777" w:rsidR="00B523A4" w:rsidRPr="00846334" w:rsidRDefault="00B523A4" w:rsidP="00B523A4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позива учеснике да прихвате понуђену цену према унапред утврђеним корацима увећања;</w:t>
      </w:r>
    </w:p>
    <w:p w14:paraId="1A5FBF93" w14:textId="77777777" w:rsidR="00B523A4" w:rsidRPr="00846334" w:rsidRDefault="00B523A4" w:rsidP="00B523A4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одржава ред на јавном надметању;</w:t>
      </w:r>
    </w:p>
    <w:p w14:paraId="66452C6A" w14:textId="77777777" w:rsidR="00B523A4" w:rsidRPr="00846334" w:rsidRDefault="00B523A4" w:rsidP="00B523A4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 xml:space="preserve">проглашава за купца учесника који је прихватио највишу понуђену цену </w:t>
      </w:r>
    </w:p>
    <w:p w14:paraId="06C5B953" w14:textId="77777777" w:rsidR="00B523A4" w:rsidRPr="00846334" w:rsidRDefault="00B523A4" w:rsidP="00B523A4">
      <w:pPr>
        <w:numPr>
          <w:ilvl w:val="0"/>
          <w:numId w:val="4"/>
        </w:numPr>
        <w:jc w:val="both"/>
        <w:rPr>
          <w:sz w:val="22"/>
          <w:szCs w:val="22"/>
          <w:lang w:val="sr-Cyrl-CS"/>
        </w:rPr>
      </w:pPr>
      <w:r w:rsidRPr="00846334">
        <w:rPr>
          <w:sz w:val="22"/>
          <w:szCs w:val="22"/>
          <w:lang w:val="sr-Cyrl-CS"/>
        </w:rPr>
        <w:t>потписује записник.</w:t>
      </w:r>
    </w:p>
    <w:p w14:paraId="6A635E52" w14:textId="77777777" w:rsidR="00B523A4" w:rsidRPr="00846334" w:rsidRDefault="00B523A4" w:rsidP="00B523A4">
      <w:pPr>
        <w:ind w:left="720"/>
        <w:jc w:val="both"/>
        <w:rPr>
          <w:sz w:val="22"/>
          <w:szCs w:val="22"/>
          <w:lang w:val="sr-Cyrl-CS"/>
        </w:rPr>
      </w:pPr>
    </w:p>
    <w:p w14:paraId="7CB549B9" w14:textId="77777777" w:rsidR="006519A5" w:rsidRPr="00C357FD" w:rsidRDefault="006519A5" w:rsidP="006519A5">
      <w:pPr>
        <w:jc w:val="both"/>
        <w:rPr>
          <w:rFonts w:asciiTheme="majorBidi" w:hAnsiTheme="majorBidi" w:cstheme="majorBidi"/>
          <w:sz w:val="22"/>
          <w:szCs w:val="22"/>
          <w:lang w:val="sr-Cyrl-CS"/>
        </w:rPr>
      </w:pP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 у року од </w:t>
      </w:r>
      <w:r w:rsidRPr="00C357FD">
        <w:rPr>
          <w:rFonts w:asciiTheme="majorBidi" w:hAnsiTheme="majorBidi" w:cstheme="majorBidi"/>
          <w:b/>
          <w:bCs/>
          <w:sz w:val="22"/>
          <w:szCs w:val="22"/>
          <w:lang w:val="sr-Cyrl-CS"/>
        </w:rPr>
        <w:t>два радна дана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гаранција.</w:t>
      </w:r>
    </w:p>
    <w:p w14:paraId="51DA2C6D" w14:textId="77777777" w:rsidR="006519A5" w:rsidRPr="00C357FD" w:rsidRDefault="006519A5" w:rsidP="006519A5">
      <w:pPr>
        <w:rPr>
          <w:rFonts w:asciiTheme="majorBidi" w:hAnsiTheme="majorBidi" w:cstheme="majorBidi"/>
          <w:sz w:val="22"/>
          <w:szCs w:val="22"/>
          <w:lang w:val="sr-Cyrl-CS"/>
        </w:rPr>
      </w:pPr>
    </w:p>
    <w:p w14:paraId="39E732EE" w14:textId="77777777" w:rsidR="006519A5" w:rsidRPr="00C357FD" w:rsidRDefault="006519A5" w:rsidP="006519A5">
      <w:pPr>
        <w:jc w:val="both"/>
        <w:rPr>
          <w:rFonts w:asciiTheme="majorBidi" w:hAnsiTheme="majorBidi" w:cstheme="majorBidi"/>
          <w:sz w:val="22"/>
          <w:szCs w:val="22"/>
          <w:lang w:val="sr-Cyrl-CS"/>
        </w:rPr>
      </w:pP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Купопродајни уговор се потписује у року од </w:t>
      </w:r>
      <w:r w:rsidRPr="00C357FD">
        <w:rPr>
          <w:rFonts w:asciiTheme="majorBidi" w:hAnsiTheme="majorBidi" w:cstheme="majorBidi"/>
          <w:b/>
          <w:bCs/>
          <w:sz w:val="22"/>
          <w:szCs w:val="22"/>
          <w:lang w:val="sr-Cyrl-CS"/>
        </w:rPr>
        <w:t xml:space="preserve">5 радних дана 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од дана одржавања јавног надметања, под условом да је депозит који је обезбеђен гаранцијом уплаћен на рачун стечајног дужника. Проглашени Купац 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lastRenderedPageBreak/>
        <w:t xml:space="preserve">је дужан да уплати преостали износ купопродајне цене у року од </w:t>
      </w:r>
      <w:r w:rsidRPr="00C357FD">
        <w:rPr>
          <w:rFonts w:asciiTheme="majorBidi" w:hAnsiTheme="majorBidi" w:cstheme="majorBidi"/>
          <w:b/>
          <w:bCs/>
          <w:sz w:val="22"/>
          <w:szCs w:val="22"/>
          <w:lang w:val="sr-Cyrl-CS"/>
        </w:rPr>
        <w:t>8 дана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 од дана потписивања уговора у законом прописаној форми.</w:t>
      </w:r>
    </w:p>
    <w:p w14:paraId="7599AC6C" w14:textId="77777777" w:rsidR="006519A5" w:rsidRPr="00C357FD" w:rsidRDefault="006519A5" w:rsidP="006519A5">
      <w:pPr>
        <w:rPr>
          <w:rFonts w:asciiTheme="majorBidi" w:hAnsiTheme="majorBidi" w:cstheme="majorBidi"/>
          <w:sz w:val="22"/>
          <w:szCs w:val="22"/>
          <w:lang w:val="sr-Cyrl-CS"/>
        </w:rPr>
      </w:pPr>
    </w:p>
    <w:p w14:paraId="2378B4E1" w14:textId="77777777" w:rsidR="006519A5" w:rsidRPr="00C357FD" w:rsidRDefault="006519A5" w:rsidP="006519A5">
      <w:pPr>
        <w:jc w:val="both"/>
        <w:rPr>
          <w:rFonts w:asciiTheme="majorBidi" w:hAnsiTheme="majorBidi" w:cstheme="majorBidi"/>
          <w:sz w:val="22"/>
          <w:szCs w:val="22"/>
          <w:lang w:val="sr-Cyrl-CS"/>
        </w:rPr>
      </w:pP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Ако проглашени купац одбије да потпише уговор у прописаној форми или не уплати купопродајну цену у прописаним роковима и по прописаној процедури, губи право на повраћај депозита, а за купца се проглашава други најбољи понуђач. </w:t>
      </w:r>
    </w:p>
    <w:p w14:paraId="68BFE923" w14:textId="77777777" w:rsidR="006519A5" w:rsidRPr="00C357FD" w:rsidRDefault="006519A5" w:rsidP="006519A5">
      <w:pPr>
        <w:rPr>
          <w:rFonts w:asciiTheme="majorBidi" w:hAnsiTheme="majorBidi" w:cstheme="majorBidi"/>
          <w:sz w:val="22"/>
          <w:szCs w:val="22"/>
          <w:lang w:val="sr-Cyrl-CS"/>
        </w:rPr>
      </w:pPr>
    </w:p>
    <w:p w14:paraId="255FD5E8" w14:textId="77777777" w:rsidR="006519A5" w:rsidRPr="00C357FD" w:rsidRDefault="006519A5" w:rsidP="006519A5">
      <w:pPr>
        <w:jc w:val="both"/>
        <w:rPr>
          <w:rFonts w:asciiTheme="majorBidi" w:hAnsiTheme="majorBidi" w:cstheme="majorBidi"/>
          <w:sz w:val="22"/>
          <w:szCs w:val="22"/>
          <w:lang w:val="sr-Cyrl-CS"/>
        </w:rPr>
      </w:pP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Други најбољи понуђач има иста права и обавезе као проглашени купац. 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 У конкретном случају, купопродајни уговор потписује се у року од </w:t>
      </w:r>
      <w:r w:rsidRPr="00C357FD">
        <w:rPr>
          <w:rFonts w:asciiTheme="majorBidi" w:hAnsiTheme="majorBidi" w:cstheme="majorBidi"/>
          <w:sz w:val="22"/>
          <w:szCs w:val="22"/>
          <w:lang w:val="sr-Latn-RS"/>
        </w:rPr>
        <w:t>5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 радн</w:t>
      </w:r>
      <w:r w:rsidRPr="00C357FD">
        <w:rPr>
          <w:rFonts w:asciiTheme="majorBidi" w:hAnsiTheme="majorBidi" w:cstheme="majorBidi"/>
          <w:sz w:val="22"/>
          <w:szCs w:val="22"/>
          <w:lang w:val="sr-Cyrl-RS"/>
        </w:rPr>
        <w:t>их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 дана од пријема обавештења којим се други најбољи понуђач проглашава за купца.</w:t>
      </w:r>
    </w:p>
    <w:p w14:paraId="689DF83A" w14:textId="77777777" w:rsidR="006519A5" w:rsidRPr="00C357FD" w:rsidRDefault="006519A5" w:rsidP="006519A5">
      <w:pPr>
        <w:rPr>
          <w:rFonts w:asciiTheme="majorBidi" w:hAnsiTheme="majorBidi" w:cstheme="majorBidi"/>
          <w:sz w:val="22"/>
          <w:szCs w:val="22"/>
          <w:lang w:val="sr-Cyrl-CS"/>
        </w:rPr>
      </w:pPr>
    </w:p>
    <w:p w14:paraId="0F48A5D6" w14:textId="77777777" w:rsidR="006519A5" w:rsidRPr="00C357FD" w:rsidRDefault="006519A5" w:rsidP="006519A5">
      <w:pPr>
        <w:jc w:val="both"/>
        <w:rPr>
          <w:rFonts w:asciiTheme="majorBidi" w:hAnsiTheme="majorBidi" w:cstheme="majorBidi"/>
          <w:sz w:val="22"/>
          <w:szCs w:val="22"/>
          <w:lang w:val="sr-Cyrl-CS"/>
        </w:rPr>
      </w:pP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Pr="00C357FD">
        <w:rPr>
          <w:rFonts w:asciiTheme="majorBidi" w:hAnsiTheme="majorBidi" w:cstheme="majorBidi"/>
          <w:b/>
          <w:bCs/>
          <w:sz w:val="22"/>
          <w:szCs w:val="22"/>
          <w:lang w:val="sr-Cyrl-CS"/>
        </w:rPr>
        <w:t>8 дана</w:t>
      </w:r>
      <w:r w:rsidRPr="00C357FD">
        <w:rPr>
          <w:rFonts w:asciiTheme="majorBidi" w:hAnsiTheme="majorBidi" w:cstheme="majorBidi"/>
          <w:sz w:val="22"/>
          <w:szCs w:val="22"/>
          <w:lang w:val="sr-Cyrl-CS"/>
        </w:rPr>
        <w:t xml:space="preserve"> од дана јавног надметања. Уплатилац депозита губи право на повраћај депозита у складу са Изјавом о губитку права на повраћај депозита. </w:t>
      </w:r>
    </w:p>
    <w:p w14:paraId="710EB145" w14:textId="77777777" w:rsidR="006519A5" w:rsidRPr="00C357FD" w:rsidRDefault="006519A5" w:rsidP="006519A5">
      <w:pPr>
        <w:rPr>
          <w:rFonts w:asciiTheme="majorBidi" w:hAnsiTheme="majorBidi" w:cstheme="majorBidi"/>
          <w:sz w:val="22"/>
          <w:szCs w:val="22"/>
          <w:lang w:val="sr-Cyrl-CS"/>
        </w:rPr>
      </w:pPr>
    </w:p>
    <w:p w14:paraId="4B39B1B4" w14:textId="48D43F29" w:rsidR="00B523A4" w:rsidRPr="00C357FD" w:rsidRDefault="00B523A4" w:rsidP="00B523A4">
      <w:pPr>
        <w:jc w:val="both"/>
        <w:rPr>
          <w:bCs/>
          <w:sz w:val="22"/>
          <w:szCs w:val="22"/>
          <w:lang w:val="sr-Cyrl-CS"/>
        </w:rPr>
      </w:pPr>
      <w:r w:rsidRPr="00C357FD">
        <w:rPr>
          <w:bCs/>
          <w:sz w:val="22"/>
          <w:szCs w:val="22"/>
          <w:lang w:val="sr-Cyrl-CS"/>
        </w:rPr>
        <w:t xml:space="preserve">Сви порези и трошкови </w:t>
      </w:r>
      <w:r w:rsidRPr="00C357FD">
        <w:rPr>
          <w:sz w:val="22"/>
          <w:szCs w:val="22"/>
          <w:lang w:val="sr-Cyrl-CS"/>
        </w:rPr>
        <w:t xml:space="preserve">реализације купопродајног уговора </w:t>
      </w:r>
      <w:r w:rsidRPr="00C357FD">
        <w:rPr>
          <w:bCs/>
          <w:sz w:val="22"/>
          <w:szCs w:val="22"/>
          <w:lang w:val="sr-Cyrl-CS"/>
        </w:rPr>
        <w:t>додају се на постигнуту купопродајну цену и падају на терет купца.</w:t>
      </w:r>
    </w:p>
    <w:p w14:paraId="7F6336A1" w14:textId="77777777" w:rsidR="00B523A4" w:rsidRPr="00C357FD" w:rsidRDefault="00B523A4" w:rsidP="00B523A4">
      <w:pPr>
        <w:jc w:val="both"/>
        <w:rPr>
          <w:b/>
          <w:sz w:val="22"/>
          <w:szCs w:val="22"/>
          <w:lang w:val="sr-Cyrl-CS"/>
        </w:rPr>
      </w:pPr>
    </w:p>
    <w:p w14:paraId="1C33C271" w14:textId="77777777" w:rsidR="00B523A4" w:rsidRPr="00C357FD" w:rsidRDefault="00B523A4" w:rsidP="00B523A4">
      <w:pPr>
        <w:jc w:val="both"/>
        <w:rPr>
          <w:i/>
          <w:iCs/>
          <w:sz w:val="22"/>
          <w:szCs w:val="22"/>
          <w:lang w:val="sr-Cyrl-CS"/>
        </w:rPr>
      </w:pPr>
      <w:r w:rsidRPr="00C357FD">
        <w:rPr>
          <w:i/>
          <w:iCs/>
          <w:sz w:val="22"/>
          <w:szCs w:val="22"/>
          <w:lang w:val="sr-Cyrl-CS"/>
        </w:rPr>
        <w:t>Напомена: Није дозвољено достављање оригинала банкарске гаранције пошиљком (обичном или препорученом), путем факса, mail-a или на други начин, осим на начин прописан у тачки 2. Услова за стицање права за учешће из овог огласа.</w:t>
      </w:r>
    </w:p>
    <w:p w14:paraId="08B71796" w14:textId="77777777" w:rsidR="00B523A4" w:rsidRPr="00C357FD" w:rsidRDefault="00B523A4" w:rsidP="00B523A4">
      <w:pPr>
        <w:jc w:val="both"/>
        <w:rPr>
          <w:b/>
          <w:sz w:val="22"/>
          <w:szCs w:val="22"/>
          <w:lang w:val="sr-Cyrl-CS"/>
        </w:rPr>
      </w:pPr>
    </w:p>
    <w:p w14:paraId="7310813F" w14:textId="1187D633" w:rsidR="00B523A4" w:rsidRPr="00C357FD" w:rsidRDefault="00B523A4" w:rsidP="00B523A4">
      <w:pPr>
        <w:jc w:val="both"/>
        <w:rPr>
          <w:sz w:val="22"/>
          <w:szCs w:val="22"/>
          <w:lang w:val="sr-Latn-RS"/>
        </w:rPr>
      </w:pPr>
      <w:r w:rsidRPr="00C357FD">
        <w:rPr>
          <w:sz w:val="22"/>
          <w:szCs w:val="22"/>
          <w:lang w:val="sr-Cyrl-RS"/>
        </w:rPr>
        <w:t>Особа за контакт</w:t>
      </w:r>
      <w:r w:rsidRPr="00C357FD">
        <w:rPr>
          <w:sz w:val="22"/>
          <w:szCs w:val="22"/>
          <w:lang w:val="sr-Cyrl-CS"/>
        </w:rPr>
        <w:t>:</w:t>
      </w:r>
      <w:r w:rsidRPr="00C357FD">
        <w:rPr>
          <w:sz w:val="22"/>
          <w:szCs w:val="22"/>
          <w:lang w:val="ru-RU"/>
        </w:rPr>
        <w:t xml:space="preserve"> повереник стеч</w:t>
      </w:r>
      <w:r w:rsidR="00021131" w:rsidRPr="00C357FD">
        <w:rPr>
          <w:sz w:val="22"/>
          <w:szCs w:val="22"/>
          <w:lang w:val="ru-RU"/>
        </w:rPr>
        <w:t xml:space="preserve">ајног управника </w:t>
      </w:r>
      <w:r w:rsidR="00021131" w:rsidRPr="00C357FD">
        <w:rPr>
          <w:sz w:val="22"/>
          <w:szCs w:val="22"/>
          <w:lang w:val="sr-Cyrl-RS"/>
        </w:rPr>
        <w:t>Вељко Дубовина</w:t>
      </w:r>
      <w:r w:rsidRPr="00C357FD">
        <w:rPr>
          <w:sz w:val="22"/>
          <w:szCs w:val="22"/>
        </w:rPr>
        <w:t xml:space="preserve">, </w:t>
      </w:r>
      <w:r w:rsidRPr="00C357FD">
        <w:rPr>
          <w:sz w:val="22"/>
          <w:szCs w:val="22"/>
          <w:lang w:val="ru-RU"/>
        </w:rPr>
        <w:t>контак</w:t>
      </w:r>
      <w:r w:rsidRPr="00C357FD">
        <w:rPr>
          <w:sz w:val="22"/>
          <w:szCs w:val="22"/>
          <w:lang w:val="sr-Cyrl-CS"/>
        </w:rPr>
        <w:t xml:space="preserve">т телефон: </w:t>
      </w:r>
      <w:r w:rsidR="00021131" w:rsidRPr="00C357FD">
        <w:rPr>
          <w:color w:val="474747"/>
          <w:sz w:val="22"/>
          <w:szCs w:val="22"/>
          <w:shd w:val="clear" w:color="auto" w:fill="FFFFFF"/>
        </w:rPr>
        <w:t>063</w:t>
      </w:r>
      <w:r w:rsidR="00021131" w:rsidRPr="00C357FD">
        <w:rPr>
          <w:color w:val="474747"/>
          <w:sz w:val="22"/>
          <w:szCs w:val="22"/>
          <w:shd w:val="clear" w:color="auto" w:fill="FFFFFF"/>
          <w:lang w:val="sr-Cyrl-RS"/>
        </w:rPr>
        <w:t xml:space="preserve"> </w:t>
      </w:r>
      <w:r w:rsidR="00021131" w:rsidRPr="00C357FD">
        <w:rPr>
          <w:color w:val="474747"/>
          <w:sz w:val="22"/>
          <w:szCs w:val="22"/>
          <w:shd w:val="clear" w:color="auto" w:fill="FFFFFF"/>
        </w:rPr>
        <w:t>406</w:t>
      </w:r>
      <w:r w:rsidR="00021131" w:rsidRPr="00C357FD">
        <w:rPr>
          <w:color w:val="474747"/>
          <w:sz w:val="22"/>
          <w:szCs w:val="22"/>
          <w:shd w:val="clear" w:color="auto" w:fill="FFFFFF"/>
          <w:lang w:val="sr-Cyrl-RS"/>
        </w:rPr>
        <w:t xml:space="preserve"> </w:t>
      </w:r>
      <w:r w:rsidR="00021131" w:rsidRPr="00C357FD">
        <w:rPr>
          <w:color w:val="474747"/>
          <w:sz w:val="22"/>
          <w:szCs w:val="22"/>
          <w:shd w:val="clear" w:color="auto" w:fill="FFFFFF"/>
        </w:rPr>
        <w:t>071</w:t>
      </w:r>
      <w:r w:rsidRPr="00C357FD">
        <w:rPr>
          <w:b/>
          <w:sz w:val="22"/>
          <w:szCs w:val="22"/>
        </w:rPr>
        <w:t xml:space="preserve">, </w:t>
      </w:r>
      <w:r w:rsidRPr="00C357FD">
        <w:rPr>
          <w:sz w:val="22"/>
          <w:szCs w:val="22"/>
          <w:lang w:val="ru-RU"/>
        </w:rPr>
        <w:t>е</w:t>
      </w:r>
      <w:r w:rsidRPr="00C357FD">
        <w:rPr>
          <w:sz w:val="22"/>
          <w:szCs w:val="22"/>
          <w:lang w:val="sr-Latn-RS"/>
        </w:rPr>
        <w:t xml:space="preserve">mail: </w:t>
      </w:r>
      <w:r w:rsidR="00021131" w:rsidRPr="00C357FD">
        <w:rPr>
          <w:sz w:val="22"/>
          <w:szCs w:val="22"/>
          <w:lang w:val="sr-Latn-RS"/>
        </w:rPr>
        <w:t>dubovinaveljko@yahoo.com</w:t>
      </w:r>
      <w:r w:rsidR="00F432D0" w:rsidRPr="00C357FD">
        <w:rPr>
          <w:sz w:val="22"/>
          <w:szCs w:val="22"/>
          <w:lang w:val="sr-Latn-RS"/>
        </w:rPr>
        <w:t>.</w:t>
      </w:r>
    </w:p>
    <w:p w14:paraId="21E34BA9" w14:textId="77777777" w:rsidR="00140C64" w:rsidRPr="00C357FD" w:rsidRDefault="00140C64" w:rsidP="00140C64">
      <w:pPr>
        <w:pStyle w:val="Default"/>
        <w:jc w:val="both"/>
        <w:rPr>
          <w:b/>
          <w:bCs/>
          <w:noProof/>
          <w:color w:val="000000" w:themeColor="text1"/>
          <w:sz w:val="22"/>
          <w:szCs w:val="22"/>
          <w:lang w:val="sr-Cyrl-RS"/>
        </w:rPr>
      </w:pPr>
    </w:p>
    <w:sectPr w:rsidR="00140C64" w:rsidRPr="00C357FD" w:rsidSect="00F44C0A">
      <w:pgSz w:w="12240" w:h="15840"/>
      <w:pgMar w:top="864" w:right="1008" w:bottom="28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MOELN+TimesNewRomanPS-Bold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F2D99"/>
    <w:multiLevelType w:val="hybridMultilevel"/>
    <w:tmpl w:val="64323412"/>
    <w:lvl w:ilvl="0" w:tplc="544C6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70223"/>
    <w:multiLevelType w:val="hybridMultilevel"/>
    <w:tmpl w:val="BE6011AC"/>
    <w:lvl w:ilvl="0" w:tplc="2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925A2"/>
    <w:multiLevelType w:val="hybridMultilevel"/>
    <w:tmpl w:val="E06C3BEA"/>
    <w:lvl w:ilvl="0" w:tplc="FD58C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98350D"/>
    <w:multiLevelType w:val="hybridMultilevel"/>
    <w:tmpl w:val="BB2AC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836743">
    <w:abstractNumId w:val="4"/>
  </w:num>
  <w:num w:numId="2" w16cid:durableId="455678374">
    <w:abstractNumId w:val="0"/>
  </w:num>
  <w:num w:numId="3" w16cid:durableId="158427089">
    <w:abstractNumId w:val="1"/>
  </w:num>
  <w:num w:numId="4" w16cid:durableId="9334406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4879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708"/>
    <w:rsid w:val="00006C82"/>
    <w:rsid w:val="00021131"/>
    <w:rsid w:val="00083C67"/>
    <w:rsid w:val="0009314C"/>
    <w:rsid w:val="000A009B"/>
    <w:rsid w:val="000A5704"/>
    <w:rsid w:val="00100D53"/>
    <w:rsid w:val="001134B7"/>
    <w:rsid w:val="00114AF9"/>
    <w:rsid w:val="0011601C"/>
    <w:rsid w:val="001311D2"/>
    <w:rsid w:val="00140C64"/>
    <w:rsid w:val="00145363"/>
    <w:rsid w:val="001857C6"/>
    <w:rsid w:val="001B28C7"/>
    <w:rsid w:val="001D36D9"/>
    <w:rsid w:val="001F3FCB"/>
    <w:rsid w:val="001F537A"/>
    <w:rsid w:val="00211F18"/>
    <w:rsid w:val="00222CD3"/>
    <w:rsid w:val="0023142C"/>
    <w:rsid w:val="00292805"/>
    <w:rsid w:val="002A346F"/>
    <w:rsid w:val="002D481A"/>
    <w:rsid w:val="002E3974"/>
    <w:rsid w:val="002F2F8F"/>
    <w:rsid w:val="002F775F"/>
    <w:rsid w:val="00312FEF"/>
    <w:rsid w:val="0032328E"/>
    <w:rsid w:val="00324603"/>
    <w:rsid w:val="00385D24"/>
    <w:rsid w:val="003A68B7"/>
    <w:rsid w:val="003C0EBB"/>
    <w:rsid w:val="003C58BF"/>
    <w:rsid w:val="003D69E6"/>
    <w:rsid w:val="00402081"/>
    <w:rsid w:val="00407A19"/>
    <w:rsid w:val="00414461"/>
    <w:rsid w:val="004419DF"/>
    <w:rsid w:val="004748CD"/>
    <w:rsid w:val="004957E2"/>
    <w:rsid w:val="00497B6F"/>
    <w:rsid w:val="004B71B5"/>
    <w:rsid w:val="004C0997"/>
    <w:rsid w:val="00503172"/>
    <w:rsid w:val="0052070F"/>
    <w:rsid w:val="00541880"/>
    <w:rsid w:val="00561E6C"/>
    <w:rsid w:val="005B2BB8"/>
    <w:rsid w:val="005B5464"/>
    <w:rsid w:val="005E4F77"/>
    <w:rsid w:val="005F6970"/>
    <w:rsid w:val="005F7789"/>
    <w:rsid w:val="00600E8E"/>
    <w:rsid w:val="006237DF"/>
    <w:rsid w:val="00647DF1"/>
    <w:rsid w:val="006519A5"/>
    <w:rsid w:val="00667D53"/>
    <w:rsid w:val="0067721F"/>
    <w:rsid w:val="00683617"/>
    <w:rsid w:val="006C1DD0"/>
    <w:rsid w:val="006D7F02"/>
    <w:rsid w:val="00706399"/>
    <w:rsid w:val="00733FF9"/>
    <w:rsid w:val="00744F95"/>
    <w:rsid w:val="0075205A"/>
    <w:rsid w:val="00752511"/>
    <w:rsid w:val="00755A4D"/>
    <w:rsid w:val="007621F0"/>
    <w:rsid w:val="007713EF"/>
    <w:rsid w:val="007B3839"/>
    <w:rsid w:val="007E455D"/>
    <w:rsid w:val="007F3D11"/>
    <w:rsid w:val="00804051"/>
    <w:rsid w:val="008212BC"/>
    <w:rsid w:val="00844867"/>
    <w:rsid w:val="0087037C"/>
    <w:rsid w:val="008858DC"/>
    <w:rsid w:val="008D47F4"/>
    <w:rsid w:val="008F6276"/>
    <w:rsid w:val="008F62A6"/>
    <w:rsid w:val="009601D3"/>
    <w:rsid w:val="00964D1A"/>
    <w:rsid w:val="009A147C"/>
    <w:rsid w:val="009B1A56"/>
    <w:rsid w:val="009B2425"/>
    <w:rsid w:val="009B31AB"/>
    <w:rsid w:val="009E7E7F"/>
    <w:rsid w:val="009F1567"/>
    <w:rsid w:val="009F2002"/>
    <w:rsid w:val="00A01FEB"/>
    <w:rsid w:val="00A05708"/>
    <w:rsid w:val="00A07960"/>
    <w:rsid w:val="00A26CDB"/>
    <w:rsid w:val="00A64490"/>
    <w:rsid w:val="00A64E5E"/>
    <w:rsid w:val="00A65603"/>
    <w:rsid w:val="00A72CA4"/>
    <w:rsid w:val="00AB3A03"/>
    <w:rsid w:val="00AE253E"/>
    <w:rsid w:val="00B063A3"/>
    <w:rsid w:val="00B06AE7"/>
    <w:rsid w:val="00B27368"/>
    <w:rsid w:val="00B4308E"/>
    <w:rsid w:val="00B47E81"/>
    <w:rsid w:val="00B523A4"/>
    <w:rsid w:val="00B54DD8"/>
    <w:rsid w:val="00B70530"/>
    <w:rsid w:val="00B74E29"/>
    <w:rsid w:val="00B75E96"/>
    <w:rsid w:val="00B76570"/>
    <w:rsid w:val="00B87288"/>
    <w:rsid w:val="00BA0946"/>
    <w:rsid w:val="00BD02B9"/>
    <w:rsid w:val="00BD1C25"/>
    <w:rsid w:val="00BE2B69"/>
    <w:rsid w:val="00BE6868"/>
    <w:rsid w:val="00C2159E"/>
    <w:rsid w:val="00C357FD"/>
    <w:rsid w:val="00C52E2F"/>
    <w:rsid w:val="00C61F72"/>
    <w:rsid w:val="00C708AB"/>
    <w:rsid w:val="00C778F8"/>
    <w:rsid w:val="00C83086"/>
    <w:rsid w:val="00CA51F2"/>
    <w:rsid w:val="00CA59DD"/>
    <w:rsid w:val="00CA60E9"/>
    <w:rsid w:val="00CD5DE5"/>
    <w:rsid w:val="00CE129A"/>
    <w:rsid w:val="00CE366F"/>
    <w:rsid w:val="00CE61C5"/>
    <w:rsid w:val="00D44956"/>
    <w:rsid w:val="00D9027E"/>
    <w:rsid w:val="00D97E3C"/>
    <w:rsid w:val="00DB5FC4"/>
    <w:rsid w:val="00DD4C69"/>
    <w:rsid w:val="00E013DC"/>
    <w:rsid w:val="00EA20A4"/>
    <w:rsid w:val="00EB7152"/>
    <w:rsid w:val="00EB73AB"/>
    <w:rsid w:val="00EC2865"/>
    <w:rsid w:val="00EF60CE"/>
    <w:rsid w:val="00F377A9"/>
    <w:rsid w:val="00F42DE1"/>
    <w:rsid w:val="00F432D0"/>
    <w:rsid w:val="00F44C0A"/>
    <w:rsid w:val="00F709AC"/>
    <w:rsid w:val="00F84BDC"/>
    <w:rsid w:val="00F965F0"/>
    <w:rsid w:val="00FA04B1"/>
    <w:rsid w:val="00FA6058"/>
    <w:rsid w:val="00FB2D59"/>
    <w:rsid w:val="00FD61AC"/>
    <w:rsid w:val="00FE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DF80"/>
  <w15:docId w15:val="{4FAF7730-BD96-424D-9349-CDC21021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7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708"/>
    <w:rPr>
      <w:rFonts w:cs="Times New Roman"/>
      <w:color w:val="0000FF"/>
      <w:u w:val="single"/>
    </w:rPr>
  </w:style>
  <w:style w:type="paragraph" w:customStyle="1" w:styleId="TableContents">
    <w:name w:val="Table Contents"/>
    <w:basedOn w:val="Normal"/>
    <w:rsid w:val="00561E6C"/>
    <w:pPr>
      <w:suppressLineNumbers/>
      <w:suppressAutoHyphens/>
    </w:pPr>
    <w:rPr>
      <w:lang w:val="sr-Latn-CS" w:eastAsia="ar-SA"/>
    </w:rPr>
  </w:style>
  <w:style w:type="paragraph" w:styleId="ListParagraph">
    <w:name w:val="List Paragraph"/>
    <w:basedOn w:val="Normal"/>
    <w:uiPriority w:val="34"/>
    <w:qFormat/>
    <w:rsid w:val="00561E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140C64"/>
    <w:pPr>
      <w:autoSpaceDE w:val="0"/>
      <w:autoSpaceDN w:val="0"/>
      <w:adjustRightInd w:val="0"/>
      <w:spacing w:after="0" w:line="240" w:lineRule="auto"/>
    </w:pPr>
    <w:rPr>
      <w:rFonts w:ascii="FMOELN+TimesNewRomanPS-BoldMT" w:hAnsi="FMOELN+TimesNewRomanPS-BoldMT" w:cs="FMOELN+TimesNewRomanPS-BoldMT"/>
      <w:color w:val="000000"/>
      <w:sz w:val="24"/>
      <w:szCs w:val="24"/>
      <w:lang w:val="sr-Latn-RS"/>
    </w:rPr>
  </w:style>
  <w:style w:type="character" w:styleId="UnresolvedMention">
    <w:name w:val="Unresolved Mention"/>
    <w:basedOn w:val="DefaultParagraphFont"/>
    <w:uiPriority w:val="99"/>
    <w:semiHidden/>
    <w:unhideWhenUsed/>
    <w:rsid w:val="00B523A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8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8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E9E34-FBC4-4325-ACD5-A35BC8543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bmatijevic</cp:lastModifiedBy>
  <cp:revision>33</cp:revision>
  <cp:lastPrinted>2026-05-14T10:00:00Z</cp:lastPrinted>
  <dcterms:created xsi:type="dcterms:W3CDTF">2024-08-21T11:51:00Z</dcterms:created>
  <dcterms:modified xsi:type="dcterms:W3CDTF">2026-05-18T11:31:00Z</dcterms:modified>
</cp:coreProperties>
</file>