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7B18" w14:textId="54A3076A" w:rsidR="00EF0080" w:rsidRDefault="00EF0080" w:rsidP="00DD1228">
      <w:pPr>
        <w:jc w:val="both"/>
        <w:rPr>
          <w:noProof/>
          <w:sz w:val="22"/>
          <w:szCs w:val="22"/>
          <w:lang w:val="sr-Latn-RS" w:eastAsia="sr-Latn-RS"/>
        </w:rPr>
      </w:pPr>
    </w:p>
    <w:p w14:paraId="0D60406B" w14:textId="77777777" w:rsidR="001F7BCA" w:rsidRDefault="001F7BCA" w:rsidP="00DD1228">
      <w:pPr>
        <w:jc w:val="both"/>
        <w:rPr>
          <w:sz w:val="22"/>
          <w:szCs w:val="22"/>
        </w:rPr>
      </w:pPr>
    </w:p>
    <w:p w14:paraId="2DA801A4" w14:textId="77777777" w:rsidR="00EF0080" w:rsidRPr="00EF0080" w:rsidRDefault="00EF0080" w:rsidP="00EF0080">
      <w:pPr>
        <w:rPr>
          <w:rFonts w:ascii="Arial" w:hAnsi="Arial" w:cs="Arial"/>
        </w:rPr>
      </w:pPr>
      <w:r>
        <w:rPr>
          <w:rFonts w:ascii="Arial" w:hAnsi="Arial" w:cs="Arial"/>
          <w:lang w:val="sr-Cyrl-CS"/>
        </w:rPr>
        <w:br w:type="textWrapping" w:clear="all"/>
      </w:r>
    </w:p>
    <w:p w14:paraId="2153B3B7" w14:textId="40B827FA" w:rsidR="00DD1228" w:rsidRPr="00D360F3" w:rsidRDefault="00DD1228" w:rsidP="00DD1228">
      <w:pPr>
        <w:jc w:val="both"/>
        <w:rPr>
          <w:sz w:val="22"/>
          <w:szCs w:val="22"/>
        </w:rPr>
      </w:pPr>
      <w:r w:rsidRPr="00D360F3">
        <w:rPr>
          <w:sz w:val="22"/>
          <w:szCs w:val="22"/>
          <w:lang w:val="sr-Cyrl-CS"/>
        </w:rPr>
        <w:t xml:space="preserve">На основу Решења Привредног суда у </w:t>
      </w:r>
      <w:r w:rsidR="00E74681">
        <w:rPr>
          <w:sz w:val="22"/>
          <w:szCs w:val="22"/>
          <w:lang w:val="sr-Cyrl-CS"/>
        </w:rPr>
        <w:t>Сомбору</w:t>
      </w:r>
      <w:r w:rsidRPr="00D360F3">
        <w:rPr>
          <w:sz w:val="22"/>
          <w:szCs w:val="22"/>
          <w:lang w:val="sr-Cyrl-CS"/>
        </w:rPr>
        <w:t xml:space="preserve">, </w:t>
      </w:r>
      <w:r>
        <w:rPr>
          <w:sz w:val="22"/>
          <w:szCs w:val="22"/>
          <w:lang w:val="sr-Cyrl-CS"/>
        </w:rPr>
        <w:t>Посл.бр.</w:t>
      </w:r>
      <w:r w:rsidR="00E74681">
        <w:rPr>
          <w:sz w:val="22"/>
          <w:szCs w:val="22"/>
          <w:lang w:val="sr-Cyrl-CS"/>
        </w:rPr>
        <w:t>1</w:t>
      </w:r>
      <w:r w:rsidR="00360D76">
        <w:rPr>
          <w:sz w:val="22"/>
          <w:szCs w:val="22"/>
          <w:lang w:val="sr-Cyrl-CS"/>
        </w:rPr>
        <w:t xml:space="preserve"> С</w:t>
      </w:r>
      <w:r w:rsidR="00E74681">
        <w:rPr>
          <w:sz w:val="22"/>
          <w:szCs w:val="22"/>
          <w:lang w:val="sr-Cyrl-CS"/>
        </w:rPr>
        <w:t>т</w:t>
      </w:r>
      <w:r w:rsidR="00360D76">
        <w:rPr>
          <w:sz w:val="22"/>
          <w:szCs w:val="22"/>
          <w:lang w:val="sr-Cyrl-CS"/>
        </w:rPr>
        <w:t>.</w:t>
      </w:r>
      <w:r w:rsidR="00E74681">
        <w:rPr>
          <w:sz w:val="22"/>
          <w:szCs w:val="22"/>
          <w:lang w:val="sr-Cyrl-CS"/>
        </w:rPr>
        <w:t>1/2016</w:t>
      </w:r>
      <w:r w:rsidRPr="00D360F3">
        <w:rPr>
          <w:sz w:val="22"/>
          <w:szCs w:val="22"/>
          <w:lang w:val="sr-Cyrl-CS"/>
        </w:rPr>
        <w:t xml:space="preserve"> од </w:t>
      </w:r>
      <w:r w:rsidR="00E74681">
        <w:rPr>
          <w:sz w:val="22"/>
          <w:szCs w:val="22"/>
          <w:lang w:val="ru-RU"/>
        </w:rPr>
        <w:t>24</w:t>
      </w:r>
      <w:r w:rsidRPr="00D360F3">
        <w:rPr>
          <w:sz w:val="22"/>
          <w:szCs w:val="22"/>
          <w:lang w:val="ru-RU"/>
        </w:rPr>
        <w:t>.</w:t>
      </w:r>
      <w:r w:rsidR="00E74681">
        <w:rPr>
          <w:sz w:val="22"/>
          <w:szCs w:val="22"/>
        </w:rPr>
        <w:t>1</w:t>
      </w:r>
      <w:r w:rsidR="00E74681">
        <w:rPr>
          <w:sz w:val="22"/>
          <w:szCs w:val="22"/>
          <w:lang w:val="sr-Cyrl-CS"/>
        </w:rPr>
        <w:t>0.2016</w:t>
      </w:r>
      <w:r w:rsidRPr="00D360F3">
        <w:rPr>
          <w:sz w:val="22"/>
          <w:szCs w:val="22"/>
          <w:lang w:val="ru-RU"/>
        </w:rPr>
        <w:t>.</w:t>
      </w:r>
      <w:r w:rsidRPr="00D360F3">
        <w:rPr>
          <w:sz w:val="22"/>
          <w:szCs w:val="22"/>
          <w:lang w:val="sr-Cyrl-CS"/>
        </w:rPr>
        <w:t xml:space="preserve"> године којим се проглашава банкротство стечајног дужника, а у складу са члан</w:t>
      </w:r>
      <w:r w:rsidRPr="00D360F3">
        <w:rPr>
          <w:sz w:val="22"/>
          <w:szCs w:val="22"/>
        </w:rPr>
        <w:t>o</w:t>
      </w:r>
      <w:r w:rsidRPr="00D360F3">
        <w:rPr>
          <w:sz w:val="22"/>
          <w:szCs w:val="22"/>
          <w:lang w:val="sr-Cyrl-CS"/>
        </w:rPr>
        <w:t xml:space="preserve">вима 131., </w:t>
      </w:r>
      <w:r w:rsidRPr="00D360F3">
        <w:rPr>
          <w:sz w:val="22"/>
          <w:szCs w:val="22"/>
          <w:lang w:val="ru-RU"/>
        </w:rPr>
        <w:t xml:space="preserve">132. и </w:t>
      </w:r>
      <w:r w:rsidRPr="00D360F3">
        <w:rPr>
          <w:sz w:val="22"/>
          <w:szCs w:val="22"/>
          <w:lang w:val="sr-Cyrl-CS"/>
        </w:rPr>
        <w:t>133. Закона о стечају («</w:t>
      </w:r>
      <w:r w:rsidRPr="00D360F3">
        <w:rPr>
          <w:i/>
          <w:sz w:val="22"/>
          <w:szCs w:val="22"/>
          <w:lang w:val="sr-Cyrl-CS"/>
        </w:rPr>
        <w:t>Службени гла</w:t>
      </w:r>
      <w:r w:rsidR="00E74681">
        <w:rPr>
          <w:i/>
          <w:sz w:val="22"/>
          <w:szCs w:val="22"/>
          <w:lang w:val="sr-Cyrl-CS"/>
        </w:rPr>
        <w:t>сник  Републике Србије» број 104</w:t>
      </w:r>
      <w:r w:rsidRPr="00D360F3">
        <w:rPr>
          <w:i/>
          <w:sz w:val="22"/>
          <w:szCs w:val="22"/>
          <w:lang w:val="sr-Cyrl-CS"/>
        </w:rPr>
        <w:t>/2009</w:t>
      </w:r>
      <w:r w:rsidR="00E74681">
        <w:rPr>
          <w:i/>
          <w:sz w:val="22"/>
          <w:szCs w:val="22"/>
          <w:lang w:val="sr-Cyrl-CS"/>
        </w:rPr>
        <w:t>, 99/2011-др закон, 71/2012-одлука УС и 83/2014</w:t>
      </w:r>
      <w:r w:rsidRPr="00D360F3">
        <w:rPr>
          <w:sz w:val="22"/>
          <w:szCs w:val="22"/>
          <w:lang w:val="sr-Cyrl-CS"/>
        </w:rPr>
        <w:t xml:space="preserve">) и </w:t>
      </w:r>
      <w:r>
        <w:rPr>
          <w:sz w:val="22"/>
          <w:szCs w:val="22"/>
          <w:lang w:val="sr-Cyrl-CS"/>
        </w:rPr>
        <w:t xml:space="preserve">Законом о изменама и допунама Закона о Агенцији за лиценцирање стечајних управника </w:t>
      </w:r>
      <w:r w:rsidRPr="00D360F3">
        <w:rPr>
          <w:sz w:val="22"/>
          <w:szCs w:val="22"/>
          <w:lang w:val="sr-Cyrl-CS"/>
        </w:rPr>
        <w:t>(«</w:t>
      </w:r>
      <w:r w:rsidRPr="00D360F3">
        <w:rPr>
          <w:i/>
          <w:sz w:val="22"/>
          <w:szCs w:val="22"/>
          <w:lang w:val="sr-Cyrl-CS"/>
        </w:rPr>
        <w:t xml:space="preserve">Службени гласник  Републике Србије» број </w:t>
      </w:r>
      <w:r>
        <w:rPr>
          <w:i/>
          <w:sz w:val="22"/>
          <w:szCs w:val="22"/>
          <w:lang w:val="sr-Cyrl-CS"/>
        </w:rPr>
        <w:t>89/2015</w:t>
      </w:r>
      <w:r w:rsidRPr="00D360F3">
        <w:rPr>
          <w:sz w:val="22"/>
          <w:szCs w:val="22"/>
          <w:lang w:val="sr-Cyrl-CS"/>
        </w:rPr>
        <w:t>)</w:t>
      </w:r>
      <w:r>
        <w:rPr>
          <w:sz w:val="22"/>
          <w:szCs w:val="22"/>
          <w:lang w:val="sr-Cyrl-CS"/>
        </w:rPr>
        <w:t xml:space="preserve">, као и </w:t>
      </w:r>
      <w:r w:rsidRPr="00D360F3">
        <w:rPr>
          <w:sz w:val="22"/>
          <w:szCs w:val="22"/>
          <w:lang w:val="sr-Cyrl-CS"/>
        </w:rPr>
        <w:t xml:space="preserve"> Националним стандардом број 5 – Национални стандард о начину и поступку уновчења имовине стечајног («</w:t>
      </w:r>
      <w:r w:rsidRPr="00D360F3">
        <w:rPr>
          <w:i/>
          <w:sz w:val="22"/>
          <w:szCs w:val="22"/>
          <w:lang w:val="sr-Cyrl-CS"/>
        </w:rPr>
        <w:t>Службени гласник Републике Србије» број 13/2010</w:t>
      </w:r>
      <w:r w:rsidRPr="00D360F3">
        <w:rPr>
          <w:sz w:val="22"/>
          <w:szCs w:val="22"/>
          <w:lang w:val="sr-Cyrl-CS"/>
        </w:rPr>
        <w:t xml:space="preserve">), </w:t>
      </w:r>
      <w:r w:rsidR="003C5CCF" w:rsidRPr="00EC1191">
        <w:rPr>
          <w:sz w:val="22"/>
          <w:szCs w:val="22"/>
          <w:lang w:val="sr-Cyrl-CS"/>
        </w:rPr>
        <w:t xml:space="preserve">а уз претходно прибављену сагласност Одбора поверилаца од </w:t>
      </w:r>
      <w:r w:rsidR="00EC1191" w:rsidRPr="00EC1191">
        <w:rPr>
          <w:sz w:val="22"/>
          <w:szCs w:val="22"/>
          <w:lang w:val="sr-Cyrl-CS"/>
        </w:rPr>
        <w:t>13</w:t>
      </w:r>
      <w:r w:rsidR="003C5CCF" w:rsidRPr="00EC1191">
        <w:rPr>
          <w:sz w:val="22"/>
          <w:szCs w:val="22"/>
          <w:lang w:val="sr-Cyrl-CS"/>
        </w:rPr>
        <w:t>.10.2020. године,</w:t>
      </w:r>
      <w:r w:rsidR="003C5CCF">
        <w:rPr>
          <w:sz w:val="22"/>
          <w:szCs w:val="22"/>
          <w:lang w:val="sr-Cyrl-CS"/>
        </w:rPr>
        <w:t xml:space="preserve"> </w:t>
      </w:r>
      <w:r w:rsidR="001E50AF">
        <w:rPr>
          <w:sz w:val="22"/>
          <w:szCs w:val="22"/>
          <w:lang w:val="sr-Cyrl-CS"/>
        </w:rPr>
        <w:t xml:space="preserve">Агенција за лиценцирање стечајних управника, као </w:t>
      </w:r>
      <w:r w:rsidRPr="00D360F3">
        <w:rPr>
          <w:sz w:val="22"/>
          <w:szCs w:val="22"/>
          <w:lang w:val="sr-Cyrl-CS"/>
        </w:rPr>
        <w:t>стечајни управник стечајног дужника</w:t>
      </w:r>
      <w:r>
        <w:rPr>
          <w:sz w:val="22"/>
          <w:szCs w:val="22"/>
        </w:rPr>
        <w:t>:</w:t>
      </w:r>
    </w:p>
    <w:p w14:paraId="232243BB" w14:textId="77777777" w:rsidR="00DD1228" w:rsidRPr="00D360F3" w:rsidRDefault="00DD1228" w:rsidP="00DD1228">
      <w:pPr>
        <w:jc w:val="both"/>
        <w:rPr>
          <w:sz w:val="22"/>
          <w:szCs w:val="22"/>
          <w:lang w:val="sr-Cyrl-CS"/>
        </w:rPr>
      </w:pPr>
    </w:p>
    <w:p w14:paraId="65D1DA40" w14:textId="3B053CF4" w:rsidR="00DD1228" w:rsidRPr="003C5CCF" w:rsidRDefault="00642E69" w:rsidP="003C5CCF">
      <w:pPr>
        <w:jc w:val="center"/>
        <w:rPr>
          <w:b/>
          <w:noProof/>
          <w:sz w:val="22"/>
          <w:szCs w:val="22"/>
          <w:lang w:val="sr-Cyrl-RS"/>
        </w:rPr>
      </w:pPr>
      <w:r w:rsidRPr="003C5CCF">
        <w:rPr>
          <w:b/>
          <w:noProof/>
          <w:sz w:val="22"/>
          <w:szCs w:val="22"/>
          <w:lang w:val="sr-Cyrl-CS"/>
        </w:rPr>
        <w:t>ДП „БОРЕЛИ</w:t>
      </w:r>
      <w:r w:rsidR="00DD1228" w:rsidRPr="003C5CCF">
        <w:rPr>
          <w:b/>
          <w:noProof/>
          <w:sz w:val="22"/>
          <w:szCs w:val="22"/>
          <w:lang w:val="sr-Cyrl-CS"/>
        </w:rPr>
        <w:t>“ у стечају</w:t>
      </w:r>
      <w:r w:rsidR="003C5CCF" w:rsidRPr="003C5CCF">
        <w:rPr>
          <w:b/>
          <w:noProof/>
          <w:sz w:val="22"/>
          <w:szCs w:val="22"/>
          <w:lang w:val="sr-Cyrl-CS"/>
        </w:rPr>
        <w:t xml:space="preserve"> </w:t>
      </w:r>
      <w:r w:rsidR="00AD0952" w:rsidRPr="003C5CCF">
        <w:rPr>
          <w:b/>
          <w:noProof/>
          <w:sz w:val="22"/>
          <w:szCs w:val="22"/>
          <w:lang w:val="sr-Cyrl-CS"/>
        </w:rPr>
        <w:t xml:space="preserve">из </w:t>
      </w:r>
      <w:r w:rsidRPr="003C5CCF">
        <w:rPr>
          <w:b/>
          <w:noProof/>
          <w:sz w:val="22"/>
          <w:szCs w:val="22"/>
          <w:lang w:val="sr-Cyrl-CS"/>
        </w:rPr>
        <w:t>Сомбора, ул. Стапарски пут бб</w:t>
      </w:r>
      <w:r w:rsidR="003C5CCF" w:rsidRPr="003C5CCF">
        <w:rPr>
          <w:b/>
          <w:noProof/>
          <w:sz w:val="22"/>
          <w:szCs w:val="22"/>
          <w:lang w:val="sr-Cyrl-CS"/>
        </w:rPr>
        <w:t xml:space="preserve">, </w:t>
      </w:r>
      <w:r w:rsidR="003C5CCF">
        <w:rPr>
          <w:b/>
          <w:noProof/>
          <w:sz w:val="22"/>
          <w:szCs w:val="22"/>
          <w:lang w:val="sr-Cyrl-RS"/>
        </w:rPr>
        <w:t xml:space="preserve">матични број </w:t>
      </w:r>
      <w:r w:rsidR="003C5CCF" w:rsidRPr="003C5CCF">
        <w:rPr>
          <w:b/>
          <w:noProof/>
          <w:sz w:val="22"/>
          <w:szCs w:val="22"/>
          <w:lang w:val="sr-Cyrl-RS"/>
        </w:rPr>
        <w:t>08656185</w:t>
      </w:r>
    </w:p>
    <w:p w14:paraId="3EAEB453" w14:textId="77777777" w:rsidR="00DD1228" w:rsidRPr="003C5CCF" w:rsidRDefault="00DD1228" w:rsidP="00DD1228">
      <w:pPr>
        <w:jc w:val="center"/>
        <w:rPr>
          <w:b/>
          <w:sz w:val="22"/>
          <w:szCs w:val="22"/>
          <w:lang w:val="sr-Cyrl-CS"/>
        </w:rPr>
      </w:pPr>
      <w:r w:rsidRPr="003C5CCF">
        <w:rPr>
          <w:b/>
          <w:sz w:val="22"/>
          <w:szCs w:val="22"/>
          <w:lang w:val="sr-Cyrl-CS"/>
        </w:rPr>
        <w:t>ОГЛАШАВА</w:t>
      </w:r>
    </w:p>
    <w:p w14:paraId="4F489D48" w14:textId="004B4F53" w:rsidR="00DD1228" w:rsidRPr="003C5CCF" w:rsidRDefault="00DD1228" w:rsidP="00DD1228">
      <w:pPr>
        <w:jc w:val="center"/>
        <w:rPr>
          <w:b/>
          <w:sz w:val="22"/>
          <w:szCs w:val="22"/>
          <w:lang w:val="sr-Cyrl-CS"/>
        </w:rPr>
      </w:pPr>
      <w:r w:rsidRPr="003C5CCF">
        <w:rPr>
          <w:b/>
          <w:sz w:val="22"/>
          <w:szCs w:val="22"/>
          <w:lang w:val="sr-Cyrl-CS"/>
        </w:rPr>
        <w:t xml:space="preserve">продају непокретне имовине </w:t>
      </w:r>
    </w:p>
    <w:p w14:paraId="2FC6B7C9" w14:textId="058A8F61" w:rsidR="00DD1228" w:rsidRPr="003C5CCF" w:rsidRDefault="003C5CCF" w:rsidP="00DD1228">
      <w:pPr>
        <w:jc w:val="center"/>
        <w:rPr>
          <w:b/>
          <w:sz w:val="22"/>
          <w:szCs w:val="22"/>
          <w:lang w:val="sr-Cyrl-CS"/>
        </w:rPr>
      </w:pPr>
      <w:r>
        <w:rPr>
          <w:b/>
          <w:sz w:val="22"/>
          <w:szCs w:val="22"/>
          <w:lang w:val="sr-Cyrl-CS"/>
        </w:rPr>
        <w:t>Ј</w:t>
      </w:r>
      <w:r w:rsidR="00DD1228" w:rsidRPr="003C5CCF">
        <w:rPr>
          <w:b/>
          <w:sz w:val="22"/>
          <w:szCs w:val="22"/>
          <w:lang w:val="sr-Cyrl-CS"/>
        </w:rPr>
        <w:t>авн</w:t>
      </w:r>
      <w:r>
        <w:rPr>
          <w:b/>
          <w:sz w:val="22"/>
          <w:szCs w:val="22"/>
          <w:lang w:val="sr-Cyrl-CS"/>
        </w:rPr>
        <w:t>им прикупљањем понуда</w:t>
      </w:r>
      <w:r w:rsidR="00DD1228" w:rsidRPr="003C5CCF">
        <w:rPr>
          <w:b/>
          <w:sz w:val="22"/>
          <w:szCs w:val="22"/>
          <w:lang w:val="sr-Cyrl-CS"/>
        </w:rPr>
        <w:t xml:space="preserve"> </w:t>
      </w:r>
      <w:r>
        <w:rPr>
          <w:b/>
          <w:sz w:val="22"/>
          <w:szCs w:val="22"/>
          <w:lang w:val="sr-Cyrl-CS"/>
        </w:rPr>
        <w:t>(</w:t>
      </w:r>
      <w:r w:rsidR="001F7BCA">
        <w:rPr>
          <w:b/>
          <w:sz w:val="22"/>
          <w:szCs w:val="22"/>
          <w:lang w:val="sr-Cyrl-RS"/>
        </w:rPr>
        <w:t>прва</w:t>
      </w:r>
      <w:r>
        <w:rPr>
          <w:b/>
          <w:sz w:val="22"/>
          <w:szCs w:val="22"/>
          <w:lang w:val="sr-Cyrl-CS"/>
        </w:rPr>
        <w:t xml:space="preserve"> продаја)</w:t>
      </w:r>
    </w:p>
    <w:p w14:paraId="758571AF" w14:textId="11376288" w:rsidR="00DD1228" w:rsidRDefault="00DD1228" w:rsidP="00DD1228">
      <w:pPr>
        <w:rPr>
          <w:lang w:val="sr-Cyrl-CS"/>
        </w:rPr>
      </w:pPr>
    </w:p>
    <w:p w14:paraId="14CBB3D5" w14:textId="77777777" w:rsidR="001F7BCA" w:rsidRPr="001F7BCA" w:rsidRDefault="001F7BCA" w:rsidP="00DD1228">
      <w:pPr>
        <w:rPr>
          <w:lang w:val="sr-Latn-RS"/>
        </w:rPr>
      </w:pPr>
    </w:p>
    <w:p w14:paraId="1B673459" w14:textId="380F8977" w:rsidR="00DD1228" w:rsidRPr="00581B0A" w:rsidRDefault="00DD1228" w:rsidP="007475AB">
      <w:pPr>
        <w:jc w:val="both"/>
        <w:rPr>
          <w:b/>
          <w:bCs/>
          <w:sz w:val="20"/>
          <w:szCs w:val="20"/>
          <w:lang w:val="sr-Cyrl-CS"/>
        </w:rPr>
      </w:pPr>
      <w:r w:rsidRPr="00581B0A">
        <w:rPr>
          <w:b/>
          <w:bCs/>
          <w:sz w:val="20"/>
          <w:szCs w:val="20"/>
          <w:lang w:val="sr-Cyrl-CS"/>
        </w:rPr>
        <w:t xml:space="preserve">Предмет продаје је непокретна </w:t>
      </w:r>
      <w:r w:rsidRPr="00581B0A">
        <w:rPr>
          <w:b/>
          <w:bCs/>
          <w:sz w:val="20"/>
          <w:szCs w:val="20"/>
        </w:rPr>
        <w:t>и</w:t>
      </w:r>
      <w:r w:rsidR="00E655DF" w:rsidRPr="00581B0A">
        <w:rPr>
          <w:b/>
          <w:bCs/>
          <w:sz w:val="20"/>
          <w:szCs w:val="20"/>
          <w:lang w:val="sr-Cyrl-RS"/>
        </w:rPr>
        <w:t>мовина</w:t>
      </w:r>
      <w:r w:rsidR="009157D0" w:rsidRPr="00581B0A">
        <w:rPr>
          <w:b/>
          <w:bCs/>
          <w:sz w:val="20"/>
          <w:szCs w:val="20"/>
          <w:lang w:val="en-GB"/>
        </w:rPr>
        <w:t xml:space="preserve"> </w:t>
      </w:r>
      <w:r w:rsidR="009157D0" w:rsidRPr="00581B0A">
        <w:rPr>
          <w:b/>
          <w:bCs/>
          <w:sz w:val="20"/>
          <w:szCs w:val="20"/>
          <w:lang w:val="sr-Cyrl-RS"/>
        </w:rPr>
        <w:t>стечајног дужника</w:t>
      </w:r>
      <w:r w:rsidR="00E655DF" w:rsidRPr="00581B0A">
        <w:rPr>
          <w:b/>
          <w:bCs/>
          <w:sz w:val="20"/>
          <w:szCs w:val="20"/>
          <w:lang w:val="sr-Cyrl-RS"/>
        </w:rPr>
        <w:t>, сврстана у имовинску Целину 1, и то</w:t>
      </w:r>
      <w:r w:rsidRPr="00581B0A">
        <w:rPr>
          <w:b/>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1585"/>
        <w:gridCol w:w="1585"/>
      </w:tblGrid>
      <w:tr w:rsidR="00DD1228" w:rsidRPr="007475AB" w14:paraId="1E48FE55" w14:textId="77777777" w:rsidTr="00154559">
        <w:tc>
          <w:tcPr>
            <w:tcW w:w="6096" w:type="dxa"/>
            <w:shd w:val="clear" w:color="auto" w:fill="auto"/>
          </w:tcPr>
          <w:p w14:paraId="614FF1DA" w14:textId="77777777" w:rsidR="00DD1228" w:rsidRPr="007475AB" w:rsidRDefault="00DD1228" w:rsidP="005E2A50">
            <w:pPr>
              <w:jc w:val="center"/>
              <w:rPr>
                <w:b/>
                <w:noProof/>
                <w:sz w:val="20"/>
                <w:szCs w:val="20"/>
                <w:lang w:val="sr-Cyrl-CS"/>
              </w:rPr>
            </w:pPr>
            <w:bookmarkStart w:id="0" w:name="_Hlk47790246"/>
          </w:p>
          <w:p w14:paraId="52FE28E3" w14:textId="77777777" w:rsidR="00DD1228" w:rsidRPr="007475AB" w:rsidRDefault="00DD1228" w:rsidP="005E2A50">
            <w:pPr>
              <w:jc w:val="center"/>
              <w:rPr>
                <w:noProof/>
                <w:sz w:val="20"/>
                <w:szCs w:val="20"/>
                <w:lang w:val="sr-Cyrl-CS"/>
              </w:rPr>
            </w:pPr>
            <w:r w:rsidRPr="007475AB">
              <w:rPr>
                <w:b/>
                <w:noProof/>
                <w:sz w:val="20"/>
                <w:szCs w:val="20"/>
                <w:lang w:val="sr-Cyrl-CS"/>
              </w:rPr>
              <w:t>Предмет продаје</w:t>
            </w:r>
          </w:p>
        </w:tc>
        <w:tc>
          <w:tcPr>
            <w:tcW w:w="1596" w:type="dxa"/>
            <w:shd w:val="clear" w:color="auto" w:fill="auto"/>
          </w:tcPr>
          <w:p w14:paraId="7B736D7E" w14:textId="6108254E" w:rsidR="00DD1228" w:rsidRPr="007475AB" w:rsidRDefault="00DD1228" w:rsidP="005E2A50">
            <w:pPr>
              <w:jc w:val="center"/>
              <w:rPr>
                <w:b/>
                <w:noProof/>
                <w:sz w:val="20"/>
                <w:szCs w:val="20"/>
                <w:lang w:val="sr-Cyrl-CS"/>
              </w:rPr>
            </w:pPr>
            <w:r w:rsidRPr="007475AB">
              <w:rPr>
                <w:b/>
                <w:noProof/>
                <w:sz w:val="20"/>
                <w:szCs w:val="20"/>
                <w:lang w:val="sr-Cyrl-CS"/>
              </w:rPr>
              <w:t>П</w:t>
            </w:r>
            <w:r w:rsidR="007475AB" w:rsidRPr="007475AB">
              <w:rPr>
                <w:b/>
                <w:noProof/>
                <w:sz w:val="20"/>
                <w:szCs w:val="20"/>
                <w:lang w:val="sr-Cyrl-CS"/>
              </w:rPr>
              <w:t>роцењена вредност</w:t>
            </w:r>
          </w:p>
          <w:p w14:paraId="163C8398" w14:textId="77777777" w:rsidR="00DD1228" w:rsidRPr="007475AB" w:rsidRDefault="00DD1228" w:rsidP="005E2A50">
            <w:pPr>
              <w:jc w:val="center"/>
              <w:rPr>
                <w:noProof/>
                <w:sz w:val="20"/>
                <w:szCs w:val="20"/>
                <w:lang w:val="sr-Cyrl-CS"/>
              </w:rPr>
            </w:pPr>
            <w:r w:rsidRPr="007475AB">
              <w:rPr>
                <w:b/>
                <w:noProof/>
                <w:sz w:val="20"/>
                <w:szCs w:val="20"/>
                <w:lang w:val="sr-Cyrl-CS"/>
              </w:rPr>
              <w:t xml:space="preserve"> (дин.)</w:t>
            </w:r>
          </w:p>
        </w:tc>
        <w:tc>
          <w:tcPr>
            <w:tcW w:w="1596" w:type="dxa"/>
            <w:shd w:val="clear" w:color="auto" w:fill="auto"/>
          </w:tcPr>
          <w:p w14:paraId="406C438E" w14:textId="77777777" w:rsidR="00AD1DF9" w:rsidRDefault="00AD1DF9" w:rsidP="005E2A50">
            <w:pPr>
              <w:jc w:val="center"/>
              <w:rPr>
                <w:b/>
                <w:noProof/>
                <w:sz w:val="20"/>
                <w:szCs w:val="20"/>
                <w:lang w:val="sr-Cyrl-CS"/>
              </w:rPr>
            </w:pPr>
          </w:p>
          <w:p w14:paraId="2A912BC5" w14:textId="4690E9F5" w:rsidR="00DD1228" w:rsidRPr="007475AB" w:rsidRDefault="00DD1228" w:rsidP="005E2A50">
            <w:pPr>
              <w:jc w:val="center"/>
              <w:rPr>
                <w:noProof/>
                <w:sz w:val="20"/>
                <w:szCs w:val="20"/>
                <w:lang w:val="sr-Cyrl-CS"/>
              </w:rPr>
            </w:pPr>
            <w:r w:rsidRPr="007475AB">
              <w:rPr>
                <w:b/>
                <w:noProof/>
                <w:sz w:val="20"/>
                <w:szCs w:val="20"/>
                <w:lang w:val="sr-Cyrl-CS"/>
              </w:rPr>
              <w:t>Депозит (дин.)</w:t>
            </w:r>
          </w:p>
        </w:tc>
      </w:tr>
      <w:tr w:rsidR="00DD1228" w:rsidRPr="007475AB" w14:paraId="79339313" w14:textId="77777777" w:rsidTr="00154559">
        <w:trPr>
          <w:trHeight w:val="1725"/>
        </w:trPr>
        <w:tc>
          <w:tcPr>
            <w:tcW w:w="6096" w:type="dxa"/>
            <w:shd w:val="clear" w:color="auto" w:fill="auto"/>
          </w:tcPr>
          <w:p w14:paraId="7151CD94" w14:textId="77777777" w:rsidR="00DD1228" w:rsidRPr="007475AB" w:rsidRDefault="00DD1228" w:rsidP="00AB020B">
            <w:pPr>
              <w:tabs>
                <w:tab w:val="num" w:pos="459"/>
              </w:tabs>
              <w:jc w:val="both"/>
              <w:rPr>
                <w:b/>
                <w:noProof/>
                <w:sz w:val="20"/>
                <w:szCs w:val="20"/>
                <w:lang w:val="sr-Cyrl-CS"/>
              </w:rPr>
            </w:pPr>
            <w:r w:rsidRPr="007475AB">
              <w:rPr>
                <w:b/>
                <w:noProof/>
                <w:sz w:val="20"/>
                <w:szCs w:val="20"/>
                <w:lang w:val="sr-Cyrl-CS"/>
              </w:rPr>
              <w:t>Целина 1</w:t>
            </w:r>
          </w:p>
          <w:p w14:paraId="6A48AAA3" w14:textId="47196F33" w:rsidR="008D02F7" w:rsidRPr="007475AB" w:rsidRDefault="008D02F7" w:rsidP="00AB020B">
            <w:pPr>
              <w:pStyle w:val="BodyText"/>
              <w:spacing w:after="0"/>
              <w:jc w:val="both"/>
              <w:rPr>
                <w:color w:val="000000"/>
                <w:sz w:val="20"/>
                <w:szCs w:val="20"/>
                <w:lang w:val="sr-Cyrl-RS"/>
              </w:rPr>
            </w:pPr>
            <w:r w:rsidRPr="007475AB">
              <w:rPr>
                <w:color w:val="000000"/>
                <w:sz w:val="20"/>
                <w:szCs w:val="20"/>
                <w:lang w:val="sr-Cyrl-RS"/>
              </w:rPr>
              <w:t>Предмет продаје чине објекти који се налазе у Сомбору, С</w:t>
            </w:r>
            <w:r w:rsidR="00154559" w:rsidRPr="007475AB">
              <w:rPr>
                <w:color w:val="000000"/>
                <w:sz w:val="20"/>
                <w:szCs w:val="20"/>
                <w:lang w:val="sr-Cyrl-RS"/>
              </w:rPr>
              <w:t>ивачки</w:t>
            </w:r>
            <w:r w:rsidRPr="007475AB">
              <w:rPr>
                <w:color w:val="000000"/>
                <w:sz w:val="20"/>
                <w:szCs w:val="20"/>
                <w:lang w:val="sr-Cyrl-RS"/>
              </w:rPr>
              <w:t xml:space="preserve"> пут бб, уписани у </w:t>
            </w:r>
            <w:r w:rsidRPr="007475AB">
              <w:rPr>
                <w:b/>
                <w:bCs/>
                <w:color w:val="000000"/>
                <w:sz w:val="20"/>
                <w:szCs w:val="20"/>
                <w:lang w:val="sr-Cyrl-RS"/>
              </w:rPr>
              <w:t>Листу непокретности бр. 962 КО Сомбор 1</w:t>
            </w:r>
            <w:r w:rsidRPr="007475AB">
              <w:rPr>
                <w:color w:val="000000"/>
                <w:sz w:val="20"/>
                <w:szCs w:val="20"/>
                <w:lang w:val="sr-Cyrl-RS"/>
              </w:rPr>
              <w:t xml:space="preserve"> као:</w:t>
            </w:r>
          </w:p>
          <w:p w14:paraId="4AB45B21" w14:textId="79E1402B"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Latn-CS"/>
              </w:rPr>
              <w:t>1.    Објекат изграђен на кат. парцели бр. 7961/7 КО Сомбор 1, и то:</w:t>
            </w:r>
          </w:p>
          <w:p w14:paraId="0418E805" w14:textId="5F99F66C"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Cyrl-RS"/>
              </w:rPr>
              <w:t xml:space="preserve">- </w:t>
            </w:r>
            <w:r w:rsidRPr="007475AB">
              <w:rPr>
                <w:bCs/>
                <w:color w:val="000000"/>
                <w:sz w:val="20"/>
                <w:szCs w:val="20"/>
                <w:lang w:val="sr-Latn-CS"/>
              </w:rPr>
              <w:t>зграда трговине - магацин, бр. граде 1, површине 3619 м</w:t>
            </w:r>
            <w:r w:rsidRPr="007475AB">
              <w:rPr>
                <w:bCs/>
                <w:color w:val="000000"/>
                <w:sz w:val="20"/>
                <w:szCs w:val="20"/>
                <w:vertAlign w:val="superscript"/>
                <w:lang w:val="sr-Latn-CS"/>
              </w:rPr>
              <w:t>2</w:t>
            </w:r>
            <w:r w:rsidRPr="007475AB">
              <w:rPr>
                <w:bCs/>
                <w:color w:val="000000"/>
                <w:sz w:val="20"/>
                <w:szCs w:val="20"/>
                <w:lang w:val="sr-Latn-CS"/>
              </w:rPr>
              <w:t xml:space="preserve">, објекат </w:t>
            </w:r>
            <w:r w:rsidR="00987DDD">
              <w:rPr>
                <w:bCs/>
                <w:color w:val="000000"/>
                <w:sz w:val="20"/>
                <w:szCs w:val="20"/>
                <w:lang w:val="sr-Cyrl-RS"/>
              </w:rPr>
              <w:t>је преузет из земљишне књиге</w:t>
            </w:r>
            <w:r w:rsidRPr="007475AB">
              <w:rPr>
                <w:bCs/>
                <w:color w:val="000000"/>
                <w:sz w:val="20"/>
                <w:szCs w:val="20"/>
                <w:lang w:val="sr-Latn-CS"/>
              </w:rPr>
              <w:t>, својина друштвена,</w:t>
            </w:r>
            <w:r w:rsidR="0037756D" w:rsidRPr="007475AB">
              <w:rPr>
                <w:bCs/>
                <w:color w:val="000000"/>
                <w:sz w:val="20"/>
                <w:szCs w:val="20"/>
                <w:lang w:val="sr-Cyrl-RS"/>
              </w:rPr>
              <w:t xml:space="preserve">  право коришћења у корист ДП БОРЕЛИ СОМБОР, Стапарски пут бб,</w:t>
            </w:r>
            <w:r w:rsidRPr="007475AB">
              <w:rPr>
                <w:bCs/>
                <w:color w:val="000000"/>
                <w:sz w:val="20"/>
                <w:szCs w:val="20"/>
                <w:lang w:val="sr-Latn-CS"/>
              </w:rPr>
              <w:t xml:space="preserve"> обим удела 1/1, у природи магацин готових производа са анексом, нето површине 3827 м</w:t>
            </w:r>
            <w:r w:rsidRPr="007475AB">
              <w:rPr>
                <w:bCs/>
                <w:color w:val="000000"/>
                <w:sz w:val="20"/>
                <w:szCs w:val="20"/>
                <w:vertAlign w:val="superscript"/>
                <w:lang w:val="sr-Latn-CS"/>
              </w:rPr>
              <w:t>2</w:t>
            </w:r>
            <w:r w:rsidRPr="007475AB">
              <w:rPr>
                <w:bCs/>
                <w:color w:val="000000"/>
                <w:sz w:val="20"/>
                <w:szCs w:val="20"/>
                <w:lang w:val="sr-Latn-CS"/>
              </w:rPr>
              <w:t xml:space="preserve"> (П+спрат анекса).</w:t>
            </w:r>
          </w:p>
          <w:p w14:paraId="4A89B1ED" w14:textId="5167B8DE"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Latn-CS"/>
              </w:rPr>
              <w:t>2.   Објекти изграђени на кат. парцели бр</w:t>
            </w:r>
            <w:r w:rsidRPr="007475AB">
              <w:rPr>
                <w:b/>
                <w:color w:val="000000"/>
                <w:sz w:val="20"/>
                <w:szCs w:val="20"/>
                <w:lang w:val="sr-Latn-CS"/>
              </w:rPr>
              <w:t xml:space="preserve">. </w:t>
            </w:r>
            <w:r w:rsidRPr="007475AB">
              <w:rPr>
                <w:bCs/>
                <w:color w:val="000000"/>
                <w:sz w:val="20"/>
                <w:szCs w:val="20"/>
                <w:lang w:val="sr-Latn-CS"/>
              </w:rPr>
              <w:t>7960/2 КО Сомбор 1, и то:</w:t>
            </w:r>
          </w:p>
          <w:p w14:paraId="66D2456D" w14:textId="2FECEFA9"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Latn-CS"/>
              </w:rPr>
              <w:t xml:space="preserve"> </w:t>
            </w:r>
            <w:r w:rsidRPr="007475AB">
              <w:rPr>
                <w:bCs/>
                <w:color w:val="000000"/>
                <w:sz w:val="20"/>
                <w:szCs w:val="20"/>
                <w:lang w:val="sr-Cyrl-RS"/>
              </w:rPr>
              <w:t xml:space="preserve">- </w:t>
            </w:r>
            <w:r w:rsidRPr="007475AB">
              <w:rPr>
                <w:bCs/>
                <w:color w:val="000000"/>
                <w:sz w:val="20"/>
                <w:szCs w:val="20"/>
                <w:lang w:val="sr-Latn-CS"/>
              </w:rPr>
              <w:t>помоћна зграда, бр. зграде 1, површине 33 м</w:t>
            </w:r>
            <w:r w:rsidRPr="007475AB">
              <w:rPr>
                <w:bCs/>
                <w:color w:val="000000"/>
                <w:sz w:val="20"/>
                <w:szCs w:val="20"/>
                <w:vertAlign w:val="superscript"/>
                <w:lang w:val="sr-Latn-CS"/>
              </w:rPr>
              <w:t>2</w:t>
            </w:r>
            <w:r w:rsidRPr="007475AB">
              <w:rPr>
                <w:bCs/>
                <w:color w:val="000000"/>
                <w:sz w:val="20"/>
                <w:szCs w:val="20"/>
                <w:lang w:val="sr-Latn-CS"/>
              </w:rPr>
              <w:t>, објекат  има  одобрење за употребу, својина друштвена,</w:t>
            </w:r>
            <w:r w:rsidR="009766BE" w:rsidRPr="007475AB">
              <w:rPr>
                <w:bCs/>
                <w:color w:val="000000"/>
                <w:sz w:val="20"/>
                <w:szCs w:val="20"/>
                <w:lang w:val="sr-Cyrl-RS"/>
              </w:rPr>
              <w:t xml:space="preserve"> право коришћења у корист ДП БОРЕЛИ СОМБОР, Стапарски пут бб, </w:t>
            </w:r>
            <w:r w:rsidRPr="007475AB">
              <w:rPr>
                <w:bCs/>
                <w:color w:val="000000"/>
                <w:sz w:val="20"/>
                <w:szCs w:val="20"/>
                <w:lang w:val="sr-Latn-CS"/>
              </w:rPr>
              <w:t>обим удела 1/1, у природи бунар са хидрофорском кућицом, нето површине 27 м</w:t>
            </w:r>
            <w:r w:rsidRPr="007475AB">
              <w:rPr>
                <w:bCs/>
                <w:color w:val="000000"/>
                <w:sz w:val="20"/>
                <w:szCs w:val="20"/>
                <w:vertAlign w:val="superscript"/>
                <w:lang w:val="sr-Latn-CS"/>
              </w:rPr>
              <w:t>2</w:t>
            </w:r>
            <w:r w:rsidRPr="007475AB">
              <w:rPr>
                <w:bCs/>
                <w:color w:val="000000"/>
                <w:sz w:val="20"/>
                <w:szCs w:val="20"/>
                <w:lang w:val="sr-Latn-CS"/>
              </w:rPr>
              <w:t>;</w:t>
            </w:r>
          </w:p>
          <w:p w14:paraId="2BBE52B9" w14:textId="3B88EF6E"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Cyrl-RS"/>
              </w:rPr>
              <w:t>-</w:t>
            </w:r>
            <w:r w:rsidRPr="007475AB">
              <w:rPr>
                <w:bCs/>
                <w:color w:val="000000"/>
                <w:sz w:val="20"/>
                <w:szCs w:val="20"/>
                <w:lang w:val="sr-Latn-CS"/>
              </w:rPr>
              <w:t xml:space="preserve"> помоћна зграда, бр. зграде 2, површине 50 м</w:t>
            </w:r>
            <w:r w:rsidRPr="007475AB">
              <w:rPr>
                <w:bCs/>
                <w:color w:val="000000"/>
                <w:sz w:val="20"/>
                <w:szCs w:val="20"/>
                <w:vertAlign w:val="superscript"/>
                <w:lang w:val="sr-Latn-CS"/>
              </w:rPr>
              <w:t>2</w:t>
            </w:r>
            <w:r w:rsidRPr="007475AB">
              <w:rPr>
                <w:bCs/>
                <w:color w:val="000000"/>
                <w:sz w:val="20"/>
                <w:szCs w:val="20"/>
                <w:lang w:val="sr-Latn-CS"/>
              </w:rPr>
              <w:t>, објекат има одобрење за употребу, својина друштвена,</w:t>
            </w:r>
            <w:r w:rsidR="009766BE" w:rsidRPr="007475AB">
              <w:rPr>
                <w:bCs/>
                <w:color w:val="000000"/>
                <w:sz w:val="20"/>
                <w:szCs w:val="20"/>
                <w:lang w:val="sr-Cyrl-RS"/>
              </w:rPr>
              <w:t xml:space="preserve"> право коришћења у корист ДП БОРЕЛИ СОМБОР, Стапарски пут бб, </w:t>
            </w:r>
            <w:r w:rsidRPr="007475AB">
              <w:rPr>
                <w:bCs/>
                <w:color w:val="000000"/>
                <w:sz w:val="20"/>
                <w:szCs w:val="20"/>
                <w:lang w:val="sr-Latn-CS"/>
              </w:rPr>
              <w:t xml:space="preserve"> обим удела 1/1, у природи портирница са надстрешницом, нето површине 42 м</w:t>
            </w:r>
            <w:r w:rsidRPr="007475AB">
              <w:rPr>
                <w:bCs/>
                <w:color w:val="000000"/>
                <w:sz w:val="20"/>
                <w:szCs w:val="20"/>
                <w:vertAlign w:val="superscript"/>
                <w:lang w:val="sr-Latn-CS"/>
              </w:rPr>
              <w:t>2</w:t>
            </w:r>
            <w:r w:rsidRPr="007475AB">
              <w:rPr>
                <w:bCs/>
                <w:color w:val="000000"/>
                <w:sz w:val="20"/>
                <w:szCs w:val="20"/>
                <w:lang w:val="sr-Latn-CS"/>
              </w:rPr>
              <w:t>;</w:t>
            </w:r>
          </w:p>
          <w:p w14:paraId="3F783ACE" w14:textId="438BBB6B"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Cyrl-RS"/>
              </w:rPr>
              <w:t xml:space="preserve">- </w:t>
            </w:r>
            <w:r w:rsidRPr="007475AB">
              <w:rPr>
                <w:bCs/>
                <w:color w:val="000000"/>
                <w:sz w:val="20"/>
                <w:szCs w:val="20"/>
                <w:lang w:val="sr-Latn-CS"/>
              </w:rPr>
              <w:t xml:space="preserve">помоћна зграда, бр. зграде </w:t>
            </w:r>
            <w:r w:rsidR="009258A8" w:rsidRPr="007475AB">
              <w:rPr>
                <w:bCs/>
                <w:color w:val="000000"/>
                <w:sz w:val="20"/>
                <w:szCs w:val="20"/>
                <w:lang w:val="sr-Latn-CS"/>
              </w:rPr>
              <w:t>3</w:t>
            </w:r>
            <w:r w:rsidRPr="007475AB">
              <w:rPr>
                <w:bCs/>
                <w:color w:val="000000"/>
                <w:sz w:val="20"/>
                <w:szCs w:val="20"/>
                <w:lang w:val="sr-Latn-CS"/>
              </w:rPr>
              <w:t>, површине 47 м</w:t>
            </w:r>
            <w:r w:rsidRPr="007475AB">
              <w:rPr>
                <w:bCs/>
                <w:color w:val="000000"/>
                <w:sz w:val="20"/>
                <w:szCs w:val="20"/>
                <w:vertAlign w:val="superscript"/>
                <w:lang w:val="sr-Latn-CS"/>
              </w:rPr>
              <w:t>2</w:t>
            </w:r>
            <w:r w:rsidRPr="007475AB">
              <w:rPr>
                <w:bCs/>
                <w:color w:val="000000"/>
                <w:sz w:val="20"/>
                <w:szCs w:val="20"/>
                <w:lang w:val="sr-Latn-CS"/>
              </w:rPr>
              <w:t>, објекат има одобрење за употребу, својина друштвена,</w:t>
            </w:r>
            <w:r w:rsidR="009766BE" w:rsidRPr="007475AB">
              <w:rPr>
                <w:bCs/>
                <w:color w:val="000000"/>
                <w:sz w:val="20"/>
                <w:szCs w:val="20"/>
                <w:lang w:val="sr-Cyrl-RS"/>
              </w:rPr>
              <w:t xml:space="preserve"> право коришћења у корист ДП БОРЕЛИ СОМБОР, Стапарски пут бб, </w:t>
            </w:r>
            <w:r w:rsidRPr="007475AB">
              <w:rPr>
                <w:bCs/>
                <w:color w:val="000000"/>
                <w:sz w:val="20"/>
                <w:szCs w:val="20"/>
                <w:lang w:val="sr-Latn-CS"/>
              </w:rPr>
              <w:t>обим удела 1/1, у природи металне гараже, нето површине 44 м</w:t>
            </w:r>
            <w:r w:rsidRPr="007475AB">
              <w:rPr>
                <w:bCs/>
                <w:color w:val="000000"/>
                <w:sz w:val="20"/>
                <w:szCs w:val="20"/>
                <w:vertAlign w:val="superscript"/>
                <w:lang w:val="sr-Latn-CS"/>
              </w:rPr>
              <w:t>2</w:t>
            </w:r>
            <w:r w:rsidRPr="007475AB">
              <w:rPr>
                <w:bCs/>
                <w:color w:val="000000"/>
                <w:sz w:val="20"/>
                <w:szCs w:val="20"/>
                <w:lang w:val="sr-Latn-CS"/>
              </w:rPr>
              <w:t xml:space="preserve">; </w:t>
            </w:r>
          </w:p>
          <w:p w14:paraId="0274C223" w14:textId="35B28DAF"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Cyrl-RS"/>
              </w:rPr>
              <w:t xml:space="preserve">- </w:t>
            </w:r>
            <w:r w:rsidRPr="007475AB">
              <w:rPr>
                <w:bCs/>
                <w:color w:val="000000"/>
                <w:sz w:val="20"/>
                <w:szCs w:val="20"/>
                <w:lang w:val="sr-Latn-CS"/>
              </w:rPr>
              <w:t>надстрешница са металном конструкцијом, површине 51 м</w:t>
            </w:r>
            <w:r w:rsidRPr="007475AB">
              <w:rPr>
                <w:bCs/>
                <w:color w:val="000000"/>
                <w:sz w:val="20"/>
                <w:szCs w:val="20"/>
                <w:vertAlign w:val="superscript"/>
                <w:lang w:val="sr-Latn-CS"/>
              </w:rPr>
              <w:t>2</w:t>
            </w:r>
            <w:r w:rsidRPr="007475AB">
              <w:rPr>
                <w:bCs/>
                <w:color w:val="000000"/>
                <w:sz w:val="20"/>
                <w:szCs w:val="20"/>
                <w:lang w:val="sr-Latn-CS"/>
              </w:rPr>
              <w:t>, није уписана у ЛН, и</w:t>
            </w:r>
          </w:p>
          <w:p w14:paraId="54486F43" w14:textId="6F681E59" w:rsidR="00E655DF" w:rsidRPr="007475AB" w:rsidRDefault="00E655DF" w:rsidP="00AB020B">
            <w:pPr>
              <w:widowControl w:val="0"/>
              <w:spacing w:before="40"/>
              <w:jc w:val="both"/>
              <w:rPr>
                <w:bCs/>
                <w:color w:val="000000"/>
                <w:sz w:val="20"/>
                <w:szCs w:val="20"/>
                <w:lang w:val="sr-Latn-CS"/>
              </w:rPr>
            </w:pPr>
            <w:r w:rsidRPr="007475AB">
              <w:rPr>
                <w:bCs/>
                <w:color w:val="000000"/>
                <w:sz w:val="20"/>
                <w:szCs w:val="20"/>
                <w:lang w:val="sr-Cyrl-RS"/>
              </w:rPr>
              <w:t xml:space="preserve">- </w:t>
            </w:r>
            <w:r w:rsidRPr="007475AB">
              <w:rPr>
                <w:bCs/>
                <w:color w:val="000000"/>
                <w:sz w:val="20"/>
                <w:szCs w:val="20"/>
                <w:lang w:val="sr-Latn-CS"/>
              </w:rPr>
              <w:t>инфраструктура  на КП 7960/2;</w:t>
            </w:r>
          </w:p>
          <w:p w14:paraId="08612323" w14:textId="602C0564" w:rsidR="00E655DF" w:rsidRPr="007475AB" w:rsidRDefault="00E655DF" w:rsidP="00AB020B">
            <w:pPr>
              <w:widowControl w:val="0"/>
              <w:spacing w:before="40"/>
              <w:jc w:val="both"/>
              <w:rPr>
                <w:bCs/>
                <w:color w:val="000000"/>
                <w:sz w:val="20"/>
                <w:szCs w:val="20"/>
                <w:lang w:val="sr-Cyrl-RS"/>
              </w:rPr>
            </w:pPr>
            <w:r w:rsidRPr="007475AB">
              <w:rPr>
                <w:bCs/>
                <w:color w:val="000000"/>
                <w:sz w:val="20"/>
                <w:szCs w:val="20"/>
                <w:lang w:val="sr-Latn-CS"/>
              </w:rPr>
              <w:t xml:space="preserve">3. </w:t>
            </w:r>
            <w:r w:rsidRPr="007475AB">
              <w:rPr>
                <w:bCs/>
                <w:color w:val="000000"/>
                <w:sz w:val="20"/>
                <w:szCs w:val="20"/>
                <w:lang w:val="sr-Cyrl-RS"/>
              </w:rPr>
              <w:t>Објекат изграђен на кат. парцели бр. 7961/9 КО Сомбор 1, и то:</w:t>
            </w:r>
          </w:p>
          <w:p w14:paraId="5AA8C704" w14:textId="684B50EB" w:rsidR="00DD1228" w:rsidRPr="007475AB" w:rsidRDefault="00E655DF" w:rsidP="00AB020B">
            <w:pPr>
              <w:widowControl w:val="0"/>
              <w:spacing w:before="40"/>
              <w:jc w:val="both"/>
              <w:rPr>
                <w:bCs/>
                <w:color w:val="000000"/>
                <w:sz w:val="20"/>
                <w:szCs w:val="20"/>
                <w:lang w:val="sr-Cyrl-RS"/>
              </w:rPr>
            </w:pPr>
            <w:r w:rsidRPr="007475AB">
              <w:rPr>
                <w:bCs/>
                <w:color w:val="000000"/>
                <w:sz w:val="20"/>
                <w:szCs w:val="20"/>
                <w:lang w:val="sr-Cyrl-RS"/>
              </w:rPr>
              <w:t>- помоћна зграда – резервоар за гориво, бр. зграде 1, површина 30 м</w:t>
            </w:r>
            <w:r w:rsidRPr="007475AB">
              <w:rPr>
                <w:bCs/>
                <w:color w:val="000000"/>
                <w:sz w:val="20"/>
                <w:szCs w:val="20"/>
                <w:vertAlign w:val="superscript"/>
                <w:lang w:val="sr-Cyrl-RS"/>
              </w:rPr>
              <w:t>2</w:t>
            </w:r>
            <w:r w:rsidRPr="007475AB">
              <w:rPr>
                <w:bCs/>
                <w:color w:val="000000"/>
                <w:sz w:val="20"/>
                <w:szCs w:val="20"/>
                <w:lang w:val="sr-Cyrl-RS"/>
              </w:rPr>
              <w:t>, објекат има одобрење за употребу, својина друштвена,</w:t>
            </w:r>
            <w:r w:rsidR="002463F5" w:rsidRPr="007475AB">
              <w:rPr>
                <w:bCs/>
                <w:color w:val="000000"/>
                <w:sz w:val="20"/>
                <w:szCs w:val="20"/>
                <w:lang w:val="sr-Cyrl-RS"/>
              </w:rPr>
              <w:t xml:space="preserve"> </w:t>
            </w:r>
            <w:r w:rsidR="009766BE" w:rsidRPr="007475AB">
              <w:rPr>
                <w:bCs/>
                <w:color w:val="000000"/>
                <w:sz w:val="20"/>
                <w:szCs w:val="20"/>
                <w:lang w:val="sr-Cyrl-RS"/>
              </w:rPr>
              <w:t xml:space="preserve">право коришћења у корист ДП БОРЕЛИ СОМБОР, Стапарски пут бб, </w:t>
            </w:r>
            <w:r w:rsidRPr="007475AB">
              <w:rPr>
                <w:bCs/>
                <w:color w:val="000000"/>
                <w:sz w:val="20"/>
                <w:szCs w:val="20"/>
                <w:lang w:val="sr-Cyrl-RS"/>
              </w:rPr>
              <w:t>обим удела 1/1, у природи котларница.</w:t>
            </w:r>
          </w:p>
        </w:tc>
        <w:tc>
          <w:tcPr>
            <w:tcW w:w="1596" w:type="dxa"/>
            <w:shd w:val="clear" w:color="auto" w:fill="auto"/>
          </w:tcPr>
          <w:p w14:paraId="17E7C138" w14:textId="77777777" w:rsidR="00DD1228" w:rsidRPr="007475AB" w:rsidRDefault="00DD1228" w:rsidP="00AB020B">
            <w:pPr>
              <w:jc w:val="center"/>
              <w:rPr>
                <w:noProof/>
                <w:sz w:val="20"/>
                <w:szCs w:val="20"/>
                <w:highlight w:val="yellow"/>
                <w:lang w:val="sr-Cyrl-CS"/>
              </w:rPr>
            </w:pPr>
          </w:p>
          <w:p w14:paraId="30EC2FE0" w14:textId="77777777" w:rsidR="00DD1228" w:rsidRPr="007475AB" w:rsidRDefault="00DD1228" w:rsidP="00AB020B">
            <w:pPr>
              <w:jc w:val="center"/>
              <w:rPr>
                <w:noProof/>
                <w:sz w:val="20"/>
                <w:szCs w:val="20"/>
                <w:highlight w:val="yellow"/>
                <w:lang w:val="sr-Cyrl-CS"/>
              </w:rPr>
            </w:pPr>
          </w:p>
          <w:p w14:paraId="6FF5767E" w14:textId="77777777" w:rsidR="00DD1228" w:rsidRPr="007475AB" w:rsidRDefault="00DD1228" w:rsidP="00AB020B">
            <w:pPr>
              <w:jc w:val="center"/>
              <w:rPr>
                <w:noProof/>
                <w:sz w:val="20"/>
                <w:szCs w:val="20"/>
                <w:highlight w:val="yellow"/>
                <w:lang w:val="sr-Cyrl-CS"/>
              </w:rPr>
            </w:pPr>
          </w:p>
          <w:p w14:paraId="7261CC36" w14:textId="77777777" w:rsidR="00DD1228" w:rsidRPr="007475AB" w:rsidRDefault="00DD1228" w:rsidP="00AB020B">
            <w:pPr>
              <w:rPr>
                <w:noProof/>
                <w:sz w:val="20"/>
                <w:szCs w:val="20"/>
                <w:highlight w:val="yellow"/>
                <w:lang w:val="sr-Latn-RS"/>
              </w:rPr>
            </w:pPr>
          </w:p>
          <w:p w14:paraId="47492C32" w14:textId="77777777" w:rsidR="00E655DF" w:rsidRPr="007475AB" w:rsidRDefault="00E655DF" w:rsidP="00AB020B">
            <w:pPr>
              <w:rPr>
                <w:noProof/>
                <w:sz w:val="20"/>
                <w:szCs w:val="20"/>
                <w:highlight w:val="yellow"/>
                <w:lang w:val="sr-Latn-RS"/>
              </w:rPr>
            </w:pPr>
          </w:p>
          <w:p w14:paraId="46E0EE03" w14:textId="77777777" w:rsidR="00E655DF" w:rsidRPr="007475AB" w:rsidRDefault="00E655DF" w:rsidP="00AB020B">
            <w:pPr>
              <w:rPr>
                <w:noProof/>
                <w:sz w:val="20"/>
                <w:szCs w:val="20"/>
                <w:highlight w:val="yellow"/>
                <w:lang w:val="sr-Latn-RS"/>
              </w:rPr>
            </w:pPr>
          </w:p>
          <w:p w14:paraId="30281B70" w14:textId="77777777" w:rsidR="00E655DF" w:rsidRPr="007475AB" w:rsidRDefault="00E655DF" w:rsidP="00AB020B">
            <w:pPr>
              <w:rPr>
                <w:noProof/>
                <w:sz w:val="20"/>
                <w:szCs w:val="20"/>
                <w:highlight w:val="yellow"/>
                <w:lang w:val="sr-Latn-RS"/>
              </w:rPr>
            </w:pPr>
          </w:p>
          <w:p w14:paraId="67DF21EF" w14:textId="77777777" w:rsidR="00E655DF" w:rsidRPr="007475AB" w:rsidRDefault="00E655DF" w:rsidP="00AB020B">
            <w:pPr>
              <w:rPr>
                <w:noProof/>
                <w:sz w:val="20"/>
                <w:szCs w:val="20"/>
                <w:highlight w:val="yellow"/>
                <w:lang w:val="sr-Latn-RS"/>
              </w:rPr>
            </w:pPr>
          </w:p>
          <w:p w14:paraId="1FE57C2E" w14:textId="77777777" w:rsidR="00E655DF" w:rsidRPr="007475AB" w:rsidRDefault="00E655DF" w:rsidP="00AB020B">
            <w:pPr>
              <w:rPr>
                <w:noProof/>
                <w:sz w:val="20"/>
                <w:szCs w:val="20"/>
                <w:highlight w:val="yellow"/>
                <w:lang w:val="sr-Latn-RS"/>
              </w:rPr>
            </w:pPr>
          </w:p>
          <w:p w14:paraId="568ACAF4" w14:textId="77777777" w:rsidR="00E655DF" w:rsidRPr="007475AB" w:rsidRDefault="00E655DF" w:rsidP="00AB020B">
            <w:pPr>
              <w:rPr>
                <w:noProof/>
                <w:sz w:val="20"/>
                <w:szCs w:val="20"/>
                <w:highlight w:val="yellow"/>
                <w:lang w:val="sr-Latn-RS"/>
              </w:rPr>
            </w:pPr>
          </w:p>
          <w:p w14:paraId="71486398" w14:textId="77777777" w:rsidR="00E655DF" w:rsidRPr="007475AB" w:rsidRDefault="00E655DF" w:rsidP="00AB020B">
            <w:pPr>
              <w:rPr>
                <w:noProof/>
                <w:sz w:val="20"/>
                <w:szCs w:val="20"/>
                <w:highlight w:val="yellow"/>
                <w:lang w:val="sr-Latn-RS"/>
              </w:rPr>
            </w:pPr>
          </w:p>
          <w:p w14:paraId="0698C6BA" w14:textId="77777777" w:rsidR="00E655DF" w:rsidRPr="007475AB" w:rsidRDefault="00E655DF" w:rsidP="00AB020B">
            <w:pPr>
              <w:rPr>
                <w:noProof/>
                <w:sz w:val="20"/>
                <w:szCs w:val="20"/>
                <w:highlight w:val="yellow"/>
                <w:lang w:val="sr-Latn-RS"/>
              </w:rPr>
            </w:pPr>
          </w:p>
          <w:p w14:paraId="36CFC2F9" w14:textId="6D0D2712" w:rsidR="00E655DF" w:rsidRPr="007475AB" w:rsidRDefault="007475AB" w:rsidP="00AB020B">
            <w:pPr>
              <w:jc w:val="center"/>
              <w:rPr>
                <w:noProof/>
                <w:sz w:val="20"/>
                <w:szCs w:val="20"/>
                <w:highlight w:val="yellow"/>
                <w:lang w:val="sr-Cyrl-RS"/>
              </w:rPr>
            </w:pPr>
            <w:r w:rsidRPr="00F162E5">
              <w:rPr>
                <w:noProof/>
                <w:sz w:val="20"/>
                <w:szCs w:val="20"/>
                <w:lang w:val="sr-Cyrl-RS"/>
              </w:rPr>
              <w:t>56</w:t>
            </w:r>
            <w:r w:rsidR="00E655DF" w:rsidRPr="00F162E5">
              <w:rPr>
                <w:noProof/>
                <w:sz w:val="20"/>
                <w:szCs w:val="20"/>
                <w:lang w:val="sr-Cyrl-RS"/>
              </w:rPr>
              <w:t>.</w:t>
            </w:r>
            <w:r w:rsidRPr="00F162E5">
              <w:rPr>
                <w:noProof/>
                <w:sz w:val="20"/>
                <w:szCs w:val="20"/>
                <w:lang w:val="sr-Cyrl-RS"/>
              </w:rPr>
              <w:t>423</w:t>
            </w:r>
            <w:r w:rsidR="00E655DF" w:rsidRPr="00F162E5">
              <w:rPr>
                <w:noProof/>
                <w:sz w:val="20"/>
                <w:szCs w:val="20"/>
                <w:lang w:val="sr-Cyrl-RS"/>
              </w:rPr>
              <w:t>.</w:t>
            </w:r>
            <w:r w:rsidRPr="00F162E5">
              <w:rPr>
                <w:noProof/>
                <w:sz w:val="20"/>
                <w:szCs w:val="20"/>
                <w:lang w:val="sr-Cyrl-RS"/>
              </w:rPr>
              <w:t>616</w:t>
            </w:r>
            <w:r w:rsidR="00E655DF" w:rsidRPr="00F162E5">
              <w:rPr>
                <w:noProof/>
                <w:sz w:val="20"/>
                <w:szCs w:val="20"/>
                <w:lang w:val="sr-Cyrl-RS"/>
              </w:rPr>
              <w:t>,00</w:t>
            </w:r>
          </w:p>
        </w:tc>
        <w:tc>
          <w:tcPr>
            <w:tcW w:w="1596" w:type="dxa"/>
            <w:shd w:val="clear" w:color="auto" w:fill="auto"/>
          </w:tcPr>
          <w:p w14:paraId="5B77A665" w14:textId="77777777" w:rsidR="00DD1228" w:rsidRPr="007475AB" w:rsidRDefault="00DD1228" w:rsidP="005E2A50">
            <w:pPr>
              <w:jc w:val="center"/>
              <w:rPr>
                <w:b/>
                <w:noProof/>
                <w:sz w:val="20"/>
                <w:szCs w:val="20"/>
                <w:lang w:val="sr-Cyrl-CS"/>
              </w:rPr>
            </w:pPr>
          </w:p>
          <w:p w14:paraId="183745AA" w14:textId="77777777" w:rsidR="00DD1228" w:rsidRPr="007475AB" w:rsidRDefault="00DD1228" w:rsidP="005E2A50">
            <w:pPr>
              <w:jc w:val="center"/>
              <w:rPr>
                <w:b/>
                <w:noProof/>
                <w:sz w:val="20"/>
                <w:szCs w:val="20"/>
                <w:lang w:val="sr-Cyrl-CS"/>
              </w:rPr>
            </w:pPr>
          </w:p>
          <w:p w14:paraId="1B783D7D" w14:textId="77777777" w:rsidR="00DD1228" w:rsidRPr="007475AB" w:rsidRDefault="00DD1228" w:rsidP="005E2A50">
            <w:pPr>
              <w:jc w:val="center"/>
              <w:rPr>
                <w:b/>
                <w:noProof/>
                <w:sz w:val="20"/>
                <w:szCs w:val="20"/>
                <w:lang w:val="sr-Cyrl-CS"/>
              </w:rPr>
            </w:pPr>
          </w:p>
          <w:p w14:paraId="338CBF5F" w14:textId="77777777" w:rsidR="00DD1228" w:rsidRPr="007475AB" w:rsidRDefault="00DD1228" w:rsidP="00786686">
            <w:pPr>
              <w:rPr>
                <w:noProof/>
                <w:sz w:val="20"/>
                <w:szCs w:val="20"/>
                <w:lang w:val="sr-Latn-RS"/>
              </w:rPr>
            </w:pPr>
          </w:p>
          <w:p w14:paraId="594AAAF1" w14:textId="77777777" w:rsidR="00E655DF" w:rsidRPr="007475AB" w:rsidRDefault="00E655DF" w:rsidP="00786686">
            <w:pPr>
              <w:rPr>
                <w:noProof/>
                <w:sz w:val="20"/>
                <w:szCs w:val="20"/>
                <w:lang w:val="sr-Latn-RS"/>
              </w:rPr>
            </w:pPr>
          </w:p>
          <w:p w14:paraId="50E20C50" w14:textId="77777777" w:rsidR="00E655DF" w:rsidRPr="007475AB" w:rsidRDefault="00E655DF" w:rsidP="00786686">
            <w:pPr>
              <w:rPr>
                <w:noProof/>
                <w:sz w:val="20"/>
                <w:szCs w:val="20"/>
                <w:lang w:val="sr-Latn-RS"/>
              </w:rPr>
            </w:pPr>
          </w:p>
          <w:p w14:paraId="79B86BF3" w14:textId="77777777" w:rsidR="00E655DF" w:rsidRPr="007475AB" w:rsidRDefault="00E655DF" w:rsidP="00786686">
            <w:pPr>
              <w:rPr>
                <w:noProof/>
                <w:sz w:val="20"/>
                <w:szCs w:val="20"/>
                <w:lang w:val="sr-Latn-RS"/>
              </w:rPr>
            </w:pPr>
          </w:p>
          <w:p w14:paraId="60FE3564" w14:textId="77777777" w:rsidR="00E655DF" w:rsidRPr="007475AB" w:rsidRDefault="00E655DF" w:rsidP="00786686">
            <w:pPr>
              <w:rPr>
                <w:noProof/>
                <w:sz w:val="20"/>
                <w:szCs w:val="20"/>
                <w:lang w:val="sr-Latn-RS"/>
              </w:rPr>
            </w:pPr>
          </w:p>
          <w:p w14:paraId="7A8F0608" w14:textId="77777777" w:rsidR="00E655DF" w:rsidRPr="007475AB" w:rsidRDefault="00E655DF" w:rsidP="00786686">
            <w:pPr>
              <w:rPr>
                <w:noProof/>
                <w:sz w:val="20"/>
                <w:szCs w:val="20"/>
                <w:lang w:val="sr-Latn-RS"/>
              </w:rPr>
            </w:pPr>
          </w:p>
          <w:p w14:paraId="58038FA4" w14:textId="77777777" w:rsidR="00E655DF" w:rsidRPr="007475AB" w:rsidRDefault="00E655DF" w:rsidP="00786686">
            <w:pPr>
              <w:rPr>
                <w:noProof/>
                <w:sz w:val="20"/>
                <w:szCs w:val="20"/>
                <w:lang w:val="sr-Latn-RS"/>
              </w:rPr>
            </w:pPr>
          </w:p>
          <w:p w14:paraId="7649AC1D" w14:textId="77777777" w:rsidR="00E655DF" w:rsidRPr="007475AB" w:rsidRDefault="00E655DF" w:rsidP="00786686">
            <w:pPr>
              <w:rPr>
                <w:noProof/>
                <w:sz w:val="20"/>
                <w:szCs w:val="20"/>
                <w:lang w:val="sr-Latn-RS"/>
              </w:rPr>
            </w:pPr>
          </w:p>
          <w:p w14:paraId="180A2E7C" w14:textId="77777777" w:rsidR="00E655DF" w:rsidRPr="007475AB" w:rsidRDefault="00E655DF" w:rsidP="00786686">
            <w:pPr>
              <w:rPr>
                <w:noProof/>
                <w:sz w:val="20"/>
                <w:szCs w:val="20"/>
                <w:lang w:val="sr-Latn-RS"/>
              </w:rPr>
            </w:pPr>
          </w:p>
          <w:p w14:paraId="6EDB96C2" w14:textId="68A817BF" w:rsidR="00E655DF" w:rsidRPr="007475AB" w:rsidRDefault="00E655DF" w:rsidP="00786686">
            <w:pPr>
              <w:rPr>
                <w:noProof/>
                <w:sz w:val="20"/>
                <w:szCs w:val="20"/>
                <w:lang w:val="sr-Cyrl-RS"/>
              </w:rPr>
            </w:pPr>
            <w:r w:rsidRPr="007475AB">
              <w:rPr>
                <w:noProof/>
                <w:sz w:val="20"/>
                <w:szCs w:val="20"/>
                <w:lang w:val="sr-Cyrl-RS"/>
              </w:rPr>
              <w:t>11.284.723,00</w:t>
            </w:r>
          </w:p>
        </w:tc>
      </w:tr>
      <w:bookmarkEnd w:id="0"/>
    </w:tbl>
    <w:p w14:paraId="1084B833" w14:textId="77777777" w:rsidR="00DD1228" w:rsidRDefault="00DD1228" w:rsidP="00DD1228">
      <w:pPr>
        <w:rPr>
          <w:sz w:val="22"/>
          <w:szCs w:val="22"/>
          <w:lang w:val="sr-Cyrl-CS"/>
        </w:rPr>
      </w:pPr>
    </w:p>
    <w:p w14:paraId="4E9B23DD" w14:textId="77777777" w:rsidR="00221394" w:rsidRDefault="00221394" w:rsidP="00DD1228">
      <w:pPr>
        <w:rPr>
          <w:sz w:val="22"/>
          <w:szCs w:val="22"/>
          <w:lang w:val="sr-Cyrl-CS"/>
        </w:rPr>
      </w:pPr>
    </w:p>
    <w:p w14:paraId="30BBBCFD" w14:textId="77777777" w:rsidR="00221394" w:rsidRPr="009B1FD4" w:rsidRDefault="00221394" w:rsidP="00DD1228">
      <w:pPr>
        <w:rPr>
          <w:sz w:val="22"/>
          <w:szCs w:val="22"/>
          <w:lang w:val="sr-Cyrl-CS"/>
        </w:rPr>
      </w:pPr>
    </w:p>
    <w:p w14:paraId="497F93D3" w14:textId="2782234C" w:rsidR="00AD1DF9" w:rsidRPr="00EF664F" w:rsidRDefault="00AD1DF9" w:rsidP="00DD1228">
      <w:pPr>
        <w:spacing w:after="60"/>
        <w:jc w:val="both"/>
        <w:rPr>
          <w:b/>
          <w:bCs/>
          <w:sz w:val="22"/>
          <w:szCs w:val="22"/>
          <w:lang w:val="sr-Cyrl-CS"/>
        </w:rPr>
      </w:pPr>
      <w:r w:rsidRPr="00EF664F">
        <w:rPr>
          <w:b/>
          <w:bCs/>
          <w:sz w:val="22"/>
          <w:szCs w:val="22"/>
          <w:lang w:val="sr-Cyrl-CS"/>
        </w:rPr>
        <w:lastRenderedPageBreak/>
        <w:t>Процењена вредност имовине није минимално прихватљива вредност, нити је на било који други начин обавезујућа или опредељујућа за понуђача приликом одређивања висине понуде.</w:t>
      </w:r>
    </w:p>
    <w:p w14:paraId="28D69345" w14:textId="77777777" w:rsidR="00AD1DF9" w:rsidRDefault="00AD1DF9" w:rsidP="00DD1228">
      <w:pPr>
        <w:spacing w:after="60"/>
        <w:jc w:val="both"/>
        <w:rPr>
          <w:sz w:val="22"/>
          <w:szCs w:val="22"/>
          <w:lang w:val="sr-Cyrl-CS"/>
        </w:rPr>
      </w:pPr>
    </w:p>
    <w:p w14:paraId="2D4DF85F" w14:textId="3E56F3DF" w:rsidR="00DD1228" w:rsidRPr="009B1FD4" w:rsidRDefault="00DD1228" w:rsidP="00DD1228">
      <w:pPr>
        <w:spacing w:after="60"/>
        <w:jc w:val="both"/>
        <w:rPr>
          <w:sz w:val="22"/>
          <w:szCs w:val="22"/>
          <w:lang w:val="sr-Cyrl-CS"/>
        </w:rPr>
      </w:pPr>
      <w:r w:rsidRPr="009B1FD4">
        <w:rPr>
          <w:sz w:val="22"/>
          <w:szCs w:val="22"/>
          <w:lang w:val="sr-Cyrl-CS"/>
        </w:rPr>
        <w:t>Право на учешће у поступку продаје имају сва правна и физичка лица која:</w:t>
      </w:r>
    </w:p>
    <w:p w14:paraId="7736E658" w14:textId="77777777" w:rsidR="00EF664F" w:rsidRDefault="00DD1228" w:rsidP="00DD1228">
      <w:pPr>
        <w:numPr>
          <w:ilvl w:val="0"/>
          <w:numId w:val="1"/>
        </w:numPr>
        <w:jc w:val="both"/>
        <w:rPr>
          <w:sz w:val="22"/>
          <w:szCs w:val="22"/>
          <w:lang w:val="sr-Cyrl-CS"/>
        </w:rPr>
      </w:pPr>
      <w:r w:rsidRPr="009B1FD4">
        <w:rPr>
          <w:sz w:val="22"/>
          <w:szCs w:val="22"/>
          <w:lang w:val="sr-Cyrl-CS"/>
        </w:rPr>
        <w:t xml:space="preserve">након добијања профактуре, изврше уплату ради откупа продајне документације у износу од </w:t>
      </w:r>
      <w:r w:rsidR="0017629F">
        <w:rPr>
          <w:b/>
          <w:sz w:val="22"/>
          <w:szCs w:val="22"/>
        </w:rPr>
        <w:t>1</w:t>
      </w:r>
      <w:r w:rsidR="0035490C">
        <w:rPr>
          <w:b/>
          <w:sz w:val="22"/>
          <w:szCs w:val="22"/>
          <w:lang w:val="sr-Latn-RS"/>
        </w:rPr>
        <w:t>2</w:t>
      </w:r>
      <w:r w:rsidR="0017629F">
        <w:rPr>
          <w:b/>
          <w:sz w:val="22"/>
          <w:szCs w:val="22"/>
        </w:rPr>
        <w:t>0.000,00</w:t>
      </w:r>
      <w:r w:rsidRPr="009B1FD4">
        <w:rPr>
          <w:b/>
          <w:sz w:val="22"/>
          <w:szCs w:val="22"/>
          <w:lang w:val="sr-Cyrl-CS"/>
        </w:rPr>
        <w:t xml:space="preserve"> динара</w:t>
      </w:r>
      <w:r w:rsidR="0021226D">
        <w:rPr>
          <w:b/>
          <w:sz w:val="22"/>
          <w:szCs w:val="22"/>
          <w:lang w:val="sr-Cyrl-CS"/>
        </w:rPr>
        <w:t xml:space="preserve"> </w:t>
      </w:r>
      <w:r w:rsidR="008A6FB0" w:rsidRPr="008A6FB0">
        <w:rPr>
          <w:bCs/>
          <w:sz w:val="22"/>
          <w:szCs w:val="22"/>
          <w:lang w:val="sr-Cyrl-CS"/>
        </w:rPr>
        <w:t xml:space="preserve">( </w:t>
      </w:r>
      <w:r w:rsidR="00227FA7" w:rsidRPr="008A6FB0">
        <w:rPr>
          <w:bCs/>
          <w:sz w:val="22"/>
          <w:szCs w:val="22"/>
          <w:lang w:val="sr-Cyrl-CS"/>
        </w:rPr>
        <w:t xml:space="preserve">припадајући ПДВ је урачунат </w:t>
      </w:r>
      <w:r w:rsidR="008A6FB0" w:rsidRPr="008A6FB0">
        <w:rPr>
          <w:bCs/>
          <w:sz w:val="22"/>
          <w:szCs w:val="22"/>
          <w:lang w:val="sr-Cyrl-CS"/>
        </w:rPr>
        <w:t xml:space="preserve">у </w:t>
      </w:r>
      <w:r w:rsidR="0035490C">
        <w:rPr>
          <w:bCs/>
          <w:sz w:val="22"/>
          <w:szCs w:val="22"/>
          <w:lang w:val="sr-Cyrl-RS"/>
        </w:rPr>
        <w:t>износ</w:t>
      </w:r>
      <w:r w:rsidR="008A6FB0" w:rsidRPr="008A6FB0">
        <w:rPr>
          <w:bCs/>
          <w:sz w:val="22"/>
          <w:szCs w:val="22"/>
          <w:lang w:val="sr-Cyrl-CS"/>
        </w:rPr>
        <w:t>)</w:t>
      </w:r>
      <w:r w:rsidR="0017629F" w:rsidRPr="008A6FB0">
        <w:rPr>
          <w:bCs/>
          <w:sz w:val="22"/>
          <w:szCs w:val="22"/>
          <w:lang w:val="sr-Cyrl-CS"/>
        </w:rPr>
        <w:t>.</w:t>
      </w:r>
      <w:r w:rsidR="0017629F">
        <w:rPr>
          <w:sz w:val="22"/>
          <w:szCs w:val="22"/>
          <w:lang w:val="sr-Cyrl-CS"/>
        </w:rPr>
        <w:t xml:space="preserve"> </w:t>
      </w:r>
      <w:r w:rsidRPr="009B1FD4">
        <w:rPr>
          <w:sz w:val="22"/>
          <w:szCs w:val="22"/>
          <w:lang w:val="sr-Cyrl-CS"/>
        </w:rPr>
        <w:t xml:space="preserve"> </w:t>
      </w:r>
    </w:p>
    <w:p w14:paraId="233E32C6" w14:textId="3B3FD1F1" w:rsidR="00DD1228" w:rsidRPr="00D455BB" w:rsidRDefault="00DD1228" w:rsidP="00EF664F">
      <w:pPr>
        <w:ind w:left="720"/>
        <w:jc w:val="both"/>
        <w:rPr>
          <w:b/>
          <w:bCs/>
          <w:sz w:val="22"/>
          <w:szCs w:val="22"/>
          <w:lang w:val="sr-Cyrl-CS"/>
        </w:rPr>
      </w:pPr>
      <w:r w:rsidRPr="009B1FD4">
        <w:rPr>
          <w:sz w:val="22"/>
          <w:szCs w:val="22"/>
          <w:lang w:val="sr-Cyrl-CS"/>
        </w:rPr>
        <w:t>Профактура се мо</w:t>
      </w:r>
      <w:r w:rsidR="00EF664F">
        <w:rPr>
          <w:sz w:val="22"/>
          <w:szCs w:val="22"/>
          <w:lang w:val="sr-Cyrl-CS"/>
        </w:rPr>
        <w:t>ра</w:t>
      </w:r>
      <w:r w:rsidRPr="009B1FD4">
        <w:rPr>
          <w:sz w:val="22"/>
          <w:szCs w:val="22"/>
          <w:lang w:val="sr-Cyrl-CS"/>
        </w:rPr>
        <w:t xml:space="preserve"> преузети </w:t>
      </w:r>
      <w:r w:rsidR="00D455BB">
        <w:rPr>
          <w:sz w:val="22"/>
          <w:szCs w:val="22"/>
          <w:lang w:val="sr-Cyrl-CS"/>
        </w:rPr>
        <w:t>на адреси Стапарски пут бб, Сомбор,</w:t>
      </w:r>
      <w:r w:rsidR="00D455BB" w:rsidRPr="009B1FD4">
        <w:rPr>
          <w:sz w:val="22"/>
          <w:szCs w:val="22"/>
          <w:lang w:val="sr-Cyrl-CS"/>
        </w:rPr>
        <w:t xml:space="preserve"> </w:t>
      </w:r>
      <w:r w:rsidRPr="009B1FD4">
        <w:rPr>
          <w:sz w:val="22"/>
          <w:szCs w:val="22"/>
          <w:lang w:val="sr-Cyrl-CS"/>
        </w:rPr>
        <w:t>сваког радног дана у периоду од 09</w:t>
      </w:r>
      <w:r w:rsidRPr="009B1FD4">
        <w:rPr>
          <w:sz w:val="22"/>
          <w:szCs w:val="22"/>
        </w:rPr>
        <w:t>:00</w:t>
      </w:r>
      <w:r w:rsidRPr="009B1FD4">
        <w:rPr>
          <w:sz w:val="22"/>
          <w:szCs w:val="22"/>
          <w:lang w:val="sr-Cyrl-CS"/>
        </w:rPr>
        <w:t xml:space="preserve"> до 15</w:t>
      </w:r>
      <w:r w:rsidRPr="009B1FD4">
        <w:rPr>
          <w:sz w:val="22"/>
          <w:szCs w:val="22"/>
        </w:rPr>
        <w:t>:00</w:t>
      </w:r>
      <w:r w:rsidR="008A6FB0">
        <w:rPr>
          <w:sz w:val="22"/>
          <w:szCs w:val="22"/>
          <w:lang w:val="sr-Cyrl-RS"/>
        </w:rPr>
        <w:t xml:space="preserve"> </w:t>
      </w:r>
      <w:r w:rsidRPr="009B1FD4">
        <w:rPr>
          <w:sz w:val="22"/>
          <w:szCs w:val="22"/>
          <w:lang w:val="sr-Cyrl-CS"/>
        </w:rPr>
        <w:t>часов</w:t>
      </w:r>
      <w:r w:rsidR="008C5330">
        <w:rPr>
          <w:sz w:val="22"/>
          <w:szCs w:val="22"/>
          <w:lang w:val="sr-Cyrl-CS"/>
        </w:rPr>
        <w:t>а</w:t>
      </w:r>
      <w:r w:rsidR="00D455BB">
        <w:rPr>
          <w:sz w:val="22"/>
          <w:szCs w:val="22"/>
          <w:lang w:val="sr-Cyrl-CS"/>
        </w:rPr>
        <w:t xml:space="preserve"> </w:t>
      </w:r>
      <w:r w:rsidR="00D455BB" w:rsidRPr="00D455BB">
        <w:rPr>
          <w:b/>
          <w:bCs/>
          <w:sz w:val="22"/>
          <w:szCs w:val="22"/>
          <w:lang w:val="sr-Cyrl-CS"/>
        </w:rPr>
        <w:t xml:space="preserve">уз обавезну телефонску најаву поверенику стечајног управника или писаним захтевом путем електронске поште. Крајњи рок за преузимање профактуре, односно </w:t>
      </w:r>
      <w:r w:rsidR="00D455BB">
        <w:rPr>
          <w:b/>
          <w:bCs/>
          <w:sz w:val="22"/>
          <w:szCs w:val="22"/>
          <w:lang w:val="sr-Cyrl-CS"/>
        </w:rPr>
        <w:t>у</w:t>
      </w:r>
      <w:r w:rsidR="00D455BB" w:rsidRPr="00D455BB">
        <w:rPr>
          <w:b/>
          <w:bCs/>
          <w:sz w:val="22"/>
          <w:szCs w:val="22"/>
          <w:lang w:val="sr-Cyrl-CS"/>
        </w:rPr>
        <w:t>плату и преузимање продајне документације је до</w:t>
      </w:r>
      <w:r w:rsidR="00D455BB">
        <w:rPr>
          <w:sz w:val="22"/>
          <w:szCs w:val="22"/>
          <w:lang w:val="sr-Cyrl-CS"/>
        </w:rPr>
        <w:t xml:space="preserve"> </w:t>
      </w:r>
      <w:r w:rsidR="00D455BB" w:rsidRPr="00D455BB">
        <w:rPr>
          <w:b/>
          <w:bCs/>
          <w:sz w:val="22"/>
          <w:szCs w:val="22"/>
          <w:lang w:val="sr-Cyrl-CS"/>
        </w:rPr>
        <w:t>07.12.2020. године</w:t>
      </w:r>
      <w:r w:rsidRPr="00D455BB">
        <w:rPr>
          <w:b/>
          <w:bCs/>
          <w:sz w:val="22"/>
          <w:szCs w:val="22"/>
          <w:lang w:val="sr-Cyrl-CS"/>
        </w:rPr>
        <w:t>.</w:t>
      </w:r>
    </w:p>
    <w:p w14:paraId="242E9CBD" w14:textId="7999C09B" w:rsidR="00DD1228" w:rsidRPr="009B1FD4" w:rsidRDefault="00DD1228" w:rsidP="00DD1228">
      <w:pPr>
        <w:pStyle w:val="ListParagraph"/>
        <w:numPr>
          <w:ilvl w:val="0"/>
          <w:numId w:val="1"/>
        </w:numPr>
        <w:jc w:val="both"/>
        <w:rPr>
          <w:sz w:val="22"/>
          <w:szCs w:val="22"/>
          <w:lang w:val="sr-Cyrl-CS"/>
        </w:rPr>
      </w:pPr>
      <w:r w:rsidRPr="009B1FD4">
        <w:rPr>
          <w:sz w:val="22"/>
          <w:szCs w:val="22"/>
          <w:lang w:val="sr-Cyrl-CS"/>
        </w:rPr>
        <w:t xml:space="preserve">уплате </w:t>
      </w:r>
      <w:r w:rsidRPr="009B1FD4">
        <w:rPr>
          <w:b/>
          <w:sz w:val="22"/>
          <w:szCs w:val="22"/>
          <w:lang w:val="sr-Cyrl-CS"/>
        </w:rPr>
        <w:t>депозит</w:t>
      </w:r>
      <w:r w:rsidRPr="009B1FD4">
        <w:rPr>
          <w:sz w:val="22"/>
          <w:szCs w:val="22"/>
          <w:lang w:val="sr-Cyrl-CS"/>
        </w:rPr>
        <w:t xml:space="preserve"> на текући рачун стечајног дужника број </w:t>
      </w:r>
      <w:r w:rsidR="00B46CD9" w:rsidRPr="00B46CD9">
        <w:rPr>
          <w:b/>
          <w:sz w:val="22"/>
          <w:szCs w:val="22"/>
          <w:lang w:val="sr-Cyrl-CS"/>
        </w:rPr>
        <w:t>325-9500600031912-53</w:t>
      </w:r>
      <w:r w:rsidRPr="009B1FD4">
        <w:rPr>
          <w:b/>
          <w:sz w:val="22"/>
          <w:szCs w:val="22"/>
          <w:lang w:val="sr-Cyrl-CS"/>
        </w:rPr>
        <w:t xml:space="preserve"> који се води код </w:t>
      </w:r>
      <w:r w:rsidR="00B46CD9">
        <w:rPr>
          <w:b/>
          <w:sz w:val="22"/>
          <w:szCs w:val="22"/>
          <w:lang w:val="sr-Latn-RS"/>
        </w:rPr>
        <w:t>„</w:t>
      </w:r>
      <w:r w:rsidRPr="009B1FD4">
        <w:rPr>
          <w:b/>
          <w:sz w:val="22"/>
          <w:szCs w:val="22"/>
          <w:lang w:val="sr-Cyrl-CS"/>
        </w:rPr>
        <w:t>Војвођанске банке</w:t>
      </w:r>
      <w:r w:rsidR="00B46CD9">
        <w:rPr>
          <w:b/>
          <w:sz w:val="22"/>
          <w:szCs w:val="22"/>
          <w:lang w:val="sr-Latn-RS"/>
        </w:rPr>
        <w:t>“</w:t>
      </w:r>
      <w:r w:rsidRPr="009B1FD4">
        <w:rPr>
          <w:b/>
          <w:sz w:val="22"/>
          <w:szCs w:val="22"/>
          <w:lang w:val="sr-Cyrl-CS"/>
        </w:rPr>
        <w:t xml:space="preserve"> а.д. Нови Сад</w:t>
      </w:r>
      <w:r w:rsidRPr="009B1FD4">
        <w:rPr>
          <w:sz w:val="22"/>
          <w:szCs w:val="22"/>
          <w:lang w:val="sr-Cyrl-CS"/>
        </w:rPr>
        <w:t xml:space="preserve"> или положе неопозиву првокласну банкарску гаранцију</w:t>
      </w:r>
      <w:r w:rsidR="0034428F">
        <w:rPr>
          <w:sz w:val="22"/>
          <w:szCs w:val="22"/>
          <w:lang w:val="sr-Cyrl-CS"/>
        </w:rPr>
        <w:t xml:space="preserve"> </w:t>
      </w:r>
      <w:r w:rsidRPr="009B1FD4">
        <w:rPr>
          <w:sz w:val="22"/>
          <w:szCs w:val="22"/>
          <w:lang w:val="sr-Cyrl-CS"/>
        </w:rPr>
        <w:t xml:space="preserve">наплативу на први позив, најкасније </w:t>
      </w:r>
      <w:r w:rsidRPr="009B1FD4">
        <w:rPr>
          <w:b/>
          <w:sz w:val="22"/>
          <w:szCs w:val="22"/>
          <w:lang w:val="sr-Cyrl-CS"/>
        </w:rPr>
        <w:t xml:space="preserve">5 радних дана пре одржавања продаје </w:t>
      </w:r>
      <w:r w:rsidRPr="009B1FD4">
        <w:rPr>
          <w:sz w:val="22"/>
          <w:szCs w:val="22"/>
          <w:lang w:val="sr-Cyrl-CS"/>
        </w:rPr>
        <w:t>(</w:t>
      </w:r>
      <w:bookmarkStart w:id="1" w:name="_Hlk47790644"/>
      <w:r w:rsidRPr="009B1FD4">
        <w:rPr>
          <w:sz w:val="22"/>
          <w:szCs w:val="22"/>
          <w:lang w:val="sr-Cyrl-CS"/>
        </w:rPr>
        <w:t xml:space="preserve">рок за уплату депозита истиче закључно са </w:t>
      </w:r>
      <w:r w:rsidR="00E5017F">
        <w:rPr>
          <w:b/>
          <w:sz w:val="22"/>
          <w:szCs w:val="22"/>
          <w:lang w:val="sr-Cyrl-CS"/>
        </w:rPr>
        <w:t>09</w:t>
      </w:r>
      <w:r w:rsidR="00F73774">
        <w:rPr>
          <w:b/>
          <w:sz w:val="22"/>
          <w:szCs w:val="22"/>
        </w:rPr>
        <w:t>.</w:t>
      </w:r>
      <w:r w:rsidR="00E5017F">
        <w:rPr>
          <w:b/>
          <w:sz w:val="22"/>
          <w:szCs w:val="22"/>
          <w:lang w:val="sr-Cyrl-RS"/>
        </w:rPr>
        <w:t>12</w:t>
      </w:r>
      <w:r w:rsidR="009B1FD4" w:rsidRPr="009B1FD4">
        <w:rPr>
          <w:b/>
          <w:sz w:val="22"/>
          <w:szCs w:val="22"/>
        </w:rPr>
        <w:t>.</w:t>
      </w:r>
      <w:r w:rsidR="00F73774">
        <w:rPr>
          <w:b/>
          <w:sz w:val="22"/>
          <w:szCs w:val="22"/>
          <w:lang w:val="sr-Cyrl-CS"/>
        </w:rPr>
        <w:t>20</w:t>
      </w:r>
      <w:r w:rsidR="008A6FB0">
        <w:rPr>
          <w:b/>
          <w:sz w:val="22"/>
          <w:szCs w:val="22"/>
          <w:lang w:val="sr-Cyrl-CS"/>
        </w:rPr>
        <w:t>20</w:t>
      </w:r>
      <w:r w:rsidRPr="009B1FD4">
        <w:rPr>
          <w:b/>
          <w:sz w:val="22"/>
          <w:szCs w:val="22"/>
          <w:lang w:val="sr-Cyrl-CS"/>
        </w:rPr>
        <w:t xml:space="preserve">. </w:t>
      </w:r>
      <w:r w:rsidRPr="00E5017F">
        <w:rPr>
          <w:b/>
          <w:bCs/>
          <w:sz w:val="22"/>
          <w:szCs w:val="22"/>
          <w:lang w:val="sr-Cyrl-CS"/>
        </w:rPr>
        <w:t>год</w:t>
      </w:r>
      <w:bookmarkEnd w:id="1"/>
      <w:r w:rsidRPr="00E5017F">
        <w:rPr>
          <w:b/>
          <w:bCs/>
          <w:sz w:val="22"/>
          <w:szCs w:val="22"/>
          <w:lang w:val="sr-Cyrl-CS"/>
        </w:rPr>
        <w:t>.</w:t>
      </w:r>
      <w:r w:rsidRPr="00E5017F">
        <w:rPr>
          <w:sz w:val="22"/>
          <w:szCs w:val="22"/>
          <w:lang w:val="sr-Cyrl-CS"/>
        </w:rPr>
        <w:t>).</w:t>
      </w:r>
      <w:r w:rsidRPr="009B1FD4">
        <w:rPr>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w:t>
      </w:r>
      <w:r w:rsidRPr="009B1FD4">
        <w:rPr>
          <w:sz w:val="22"/>
          <w:szCs w:val="22"/>
        </w:rPr>
        <w:t>a</w:t>
      </w:r>
      <w:r w:rsidRPr="009B1FD4">
        <w:rPr>
          <w:sz w:val="22"/>
          <w:szCs w:val="22"/>
          <w:lang w:val="sr-Cyrl-CS"/>
        </w:rPr>
        <w:t>, Теразије 23, VI</w:t>
      </w:r>
      <w:r w:rsidR="002E6106">
        <w:rPr>
          <w:sz w:val="22"/>
          <w:szCs w:val="22"/>
          <w:lang w:val="sr-Cyrl-CS"/>
        </w:rPr>
        <w:t xml:space="preserve"> </w:t>
      </w:r>
      <w:r w:rsidRPr="009B1FD4">
        <w:rPr>
          <w:sz w:val="22"/>
          <w:szCs w:val="22"/>
          <w:lang w:val="sr-Cyrl-CS"/>
        </w:rPr>
        <w:t xml:space="preserve">спрат, Београд, </w:t>
      </w:r>
      <w:r w:rsidR="00E5017F">
        <w:rPr>
          <w:sz w:val="22"/>
          <w:szCs w:val="22"/>
          <w:lang w:val="sr-Cyrl-CS"/>
        </w:rPr>
        <w:t>најкасније</w:t>
      </w:r>
      <w:r w:rsidR="002E6106">
        <w:rPr>
          <w:sz w:val="22"/>
          <w:szCs w:val="22"/>
          <w:lang w:val="sr-Cyrl-CS"/>
        </w:rPr>
        <w:t xml:space="preserve"> </w:t>
      </w:r>
      <w:r w:rsidR="00E5017F" w:rsidRPr="00E5017F">
        <w:rPr>
          <w:b/>
          <w:bCs/>
          <w:sz w:val="22"/>
          <w:szCs w:val="22"/>
          <w:lang w:val="sr-Cyrl-CS"/>
        </w:rPr>
        <w:t>09</w:t>
      </w:r>
      <w:r w:rsidR="00F73774" w:rsidRPr="00E5017F">
        <w:rPr>
          <w:b/>
          <w:bCs/>
          <w:sz w:val="22"/>
          <w:szCs w:val="22"/>
        </w:rPr>
        <w:t>.</w:t>
      </w:r>
      <w:r w:rsidR="00E5017F">
        <w:rPr>
          <w:b/>
          <w:sz w:val="22"/>
          <w:szCs w:val="22"/>
          <w:lang w:val="sr-Cyrl-RS"/>
        </w:rPr>
        <w:t>12</w:t>
      </w:r>
      <w:r w:rsidR="009B1FD4" w:rsidRPr="009B1FD4">
        <w:rPr>
          <w:b/>
          <w:sz w:val="22"/>
          <w:szCs w:val="22"/>
        </w:rPr>
        <w:t>.</w:t>
      </w:r>
      <w:r w:rsidR="00F73774">
        <w:rPr>
          <w:b/>
          <w:sz w:val="22"/>
          <w:szCs w:val="22"/>
          <w:lang w:val="sr-Cyrl-CS"/>
        </w:rPr>
        <w:t>20</w:t>
      </w:r>
      <w:r w:rsidR="008A6FB0">
        <w:rPr>
          <w:b/>
          <w:sz w:val="22"/>
          <w:szCs w:val="22"/>
          <w:lang w:val="sr-Cyrl-CS"/>
        </w:rPr>
        <w:t>20</w:t>
      </w:r>
      <w:r w:rsidRPr="009B1FD4">
        <w:rPr>
          <w:b/>
          <w:sz w:val="22"/>
          <w:szCs w:val="22"/>
          <w:lang w:val="sr-Cyrl-CS"/>
        </w:rPr>
        <w:t xml:space="preserve">. </w:t>
      </w:r>
      <w:r w:rsidRPr="009B1FD4">
        <w:rPr>
          <w:sz w:val="22"/>
          <w:szCs w:val="22"/>
          <w:lang w:val="sr-Cyrl-CS"/>
        </w:rPr>
        <w:t>године до 15 часова по београдском времену (GMT +</w:t>
      </w:r>
      <w:r w:rsidR="00553137">
        <w:rPr>
          <w:sz w:val="22"/>
          <w:szCs w:val="22"/>
          <w:lang w:val="sr-Cyrl-CS"/>
        </w:rPr>
        <w:t>1</w:t>
      </w:r>
      <w:r w:rsidRPr="009B1FD4">
        <w:rPr>
          <w:sz w:val="22"/>
          <w:szCs w:val="22"/>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w:t>
      </w:r>
      <w:r w:rsidRPr="009B1FD4">
        <w:rPr>
          <w:b/>
          <w:sz w:val="22"/>
          <w:szCs w:val="22"/>
          <w:lang w:val="sr-Cyrl-CS"/>
        </w:rPr>
        <w:t xml:space="preserve">рок важења до </w:t>
      </w:r>
      <w:r w:rsidR="00E5017F">
        <w:rPr>
          <w:b/>
          <w:sz w:val="22"/>
          <w:szCs w:val="22"/>
          <w:lang w:val="sr-Cyrl-CS"/>
        </w:rPr>
        <w:t>16</w:t>
      </w:r>
      <w:r w:rsidR="00F73774">
        <w:rPr>
          <w:b/>
          <w:sz w:val="22"/>
          <w:szCs w:val="22"/>
        </w:rPr>
        <w:t>.</w:t>
      </w:r>
      <w:r w:rsidR="00E5017F">
        <w:rPr>
          <w:b/>
          <w:sz w:val="22"/>
          <w:szCs w:val="22"/>
          <w:lang w:val="sr-Cyrl-CS"/>
        </w:rPr>
        <w:t>02</w:t>
      </w:r>
      <w:r w:rsidR="00F73774">
        <w:rPr>
          <w:b/>
          <w:sz w:val="22"/>
          <w:szCs w:val="22"/>
          <w:lang w:val="sr-Cyrl-CS"/>
        </w:rPr>
        <w:t>.20</w:t>
      </w:r>
      <w:r w:rsidR="008A6FB0">
        <w:rPr>
          <w:b/>
          <w:sz w:val="22"/>
          <w:szCs w:val="22"/>
          <w:lang w:val="sr-Cyrl-CS"/>
        </w:rPr>
        <w:t>2</w:t>
      </w:r>
      <w:r w:rsidR="00E5017F">
        <w:rPr>
          <w:b/>
          <w:sz w:val="22"/>
          <w:szCs w:val="22"/>
          <w:lang w:val="sr-Cyrl-CS"/>
        </w:rPr>
        <w:t>1</w:t>
      </w:r>
      <w:r w:rsidRPr="009B1FD4">
        <w:rPr>
          <w:b/>
          <w:sz w:val="22"/>
          <w:szCs w:val="22"/>
          <w:lang w:val="sr-Cyrl-CS"/>
        </w:rPr>
        <w:t xml:space="preserve">. </w:t>
      </w:r>
      <w:r w:rsidRPr="009B1FD4">
        <w:rPr>
          <w:sz w:val="22"/>
          <w:szCs w:val="22"/>
          <w:lang w:val="sr-Cyrl-CS"/>
        </w:rPr>
        <w:t xml:space="preserve">године. </w:t>
      </w:r>
    </w:p>
    <w:p w14:paraId="2B3FCB17" w14:textId="77777777" w:rsidR="00DD1228" w:rsidRPr="009B1FD4" w:rsidRDefault="00DD1228" w:rsidP="00DD1228">
      <w:pPr>
        <w:numPr>
          <w:ilvl w:val="0"/>
          <w:numId w:val="1"/>
        </w:numPr>
        <w:jc w:val="both"/>
        <w:rPr>
          <w:sz w:val="22"/>
          <w:szCs w:val="22"/>
          <w:lang w:val="sr-Cyrl-CS"/>
        </w:rPr>
      </w:pPr>
      <w:r w:rsidRPr="009B1FD4">
        <w:rPr>
          <w:sz w:val="22"/>
          <w:szCs w:val="22"/>
          <w:lang w:val="sr-Cyrl-CS"/>
        </w:rPr>
        <w:t>потпишу изјаву о губитку права на повраћај депозита. Изјава чини саставни део продајне документације;</w:t>
      </w:r>
    </w:p>
    <w:p w14:paraId="495EEF52" w14:textId="77777777" w:rsidR="00BD35D9" w:rsidRDefault="00BD35D9" w:rsidP="00DD1228">
      <w:pPr>
        <w:jc w:val="both"/>
        <w:rPr>
          <w:sz w:val="22"/>
          <w:szCs w:val="22"/>
        </w:rPr>
      </w:pPr>
    </w:p>
    <w:p w14:paraId="5A0FFEF2" w14:textId="7A626BB6" w:rsidR="00DD1228" w:rsidRPr="009B1FD4" w:rsidRDefault="00DD1228" w:rsidP="00DD1228">
      <w:pPr>
        <w:jc w:val="both"/>
        <w:rPr>
          <w:sz w:val="22"/>
          <w:szCs w:val="22"/>
          <w:lang w:val="sr-Cyrl-CS"/>
        </w:rPr>
      </w:pPr>
      <w:r w:rsidRPr="009B1FD4">
        <w:rPr>
          <w:sz w:val="22"/>
          <w:szCs w:val="22"/>
          <w:lang w:val="sr-Cyrl-CS"/>
        </w:rPr>
        <w:t>Имовина се купује у виђеном стању и може се разгледати након откупа продајне документације, сваким радним даном од 10</w:t>
      </w:r>
      <w:r w:rsidRPr="009B1FD4">
        <w:rPr>
          <w:sz w:val="22"/>
          <w:szCs w:val="22"/>
        </w:rPr>
        <w:t>:00</w:t>
      </w:r>
      <w:r w:rsidRPr="009B1FD4">
        <w:rPr>
          <w:sz w:val="22"/>
          <w:szCs w:val="22"/>
          <w:lang w:val="sr-Cyrl-CS"/>
        </w:rPr>
        <w:t xml:space="preserve"> до 14</w:t>
      </w:r>
      <w:r w:rsidRPr="009B1FD4">
        <w:rPr>
          <w:sz w:val="22"/>
          <w:szCs w:val="22"/>
        </w:rPr>
        <w:t>:00</w:t>
      </w:r>
      <w:r w:rsidRPr="009B1FD4">
        <w:rPr>
          <w:sz w:val="22"/>
          <w:szCs w:val="22"/>
          <w:lang w:val="sr-Cyrl-CS"/>
        </w:rPr>
        <w:t xml:space="preserve"> часов</w:t>
      </w:r>
      <w:r w:rsidR="00DA3FF8">
        <w:rPr>
          <w:sz w:val="22"/>
          <w:szCs w:val="22"/>
          <w:lang w:val="sr-Cyrl-CS"/>
        </w:rPr>
        <w:t xml:space="preserve">, а најкасније до 09.12.2020. године </w:t>
      </w:r>
      <w:r w:rsidRPr="009B1FD4">
        <w:rPr>
          <w:sz w:val="22"/>
          <w:szCs w:val="22"/>
          <w:lang w:val="sr-Cyrl-CS"/>
        </w:rPr>
        <w:t xml:space="preserve"> </w:t>
      </w:r>
      <w:r w:rsidR="00DA3FF8">
        <w:rPr>
          <w:sz w:val="22"/>
          <w:szCs w:val="22"/>
          <w:lang w:val="sr-Cyrl-CS"/>
        </w:rPr>
        <w:t>(</w:t>
      </w:r>
      <w:r w:rsidRPr="009B1FD4">
        <w:rPr>
          <w:sz w:val="22"/>
          <w:szCs w:val="22"/>
          <w:lang w:val="sr-Cyrl-CS"/>
        </w:rPr>
        <w:t>уз претходну најаву поверенику стечајног управника</w:t>
      </w:r>
      <w:r w:rsidR="00DA3FF8">
        <w:rPr>
          <w:sz w:val="22"/>
          <w:szCs w:val="22"/>
          <w:lang w:val="sr-Cyrl-CS"/>
        </w:rPr>
        <w:t>)</w:t>
      </w:r>
      <w:r w:rsidRPr="009B1FD4">
        <w:rPr>
          <w:sz w:val="22"/>
          <w:szCs w:val="22"/>
          <w:lang w:val="sr-Cyrl-CS"/>
        </w:rPr>
        <w:t>.</w:t>
      </w:r>
    </w:p>
    <w:p w14:paraId="32B461CE" w14:textId="77777777" w:rsidR="0034428F" w:rsidRDefault="0034428F" w:rsidP="00DD1228">
      <w:pPr>
        <w:jc w:val="both"/>
        <w:rPr>
          <w:sz w:val="22"/>
          <w:szCs w:val="22"/>
          <w:lang w:val="sr-Cyrl-CS"/>
        </w:rPr>
      </w:pPr>
    </w:p>
    <w:p w14:paraId="0904854C" w14:textId="02EEE97F" w:rsidR="00DA3FF8" w:rsidRDefault="00EC1191" w:rsidP="00DD1228">
      <w:pPr>
        <w:jc w:val="both"/>
        <w:rPr>
          <w:sz w:val="22"/>
          <w:szCs w:val="22"/>
          <w:lang w:val="sr-Cyrl-RS"/>
        </w:rPr>
      </w:pPr>
      <w:r>
        <w:rPr>
          <w:sz w:val="22"/>
          <w:szCs w:val="22"/>
          <w:lang w:val="sr-Cyrl-CS"/>
        </w:rPr>
        <w:t xml:space="preserve">Затворене понуде се достављају искључиво лично/директно у просторије Агенције за лиценцирање стечајних управника, Београд </w:t>
      </w:r>
      <w:r w:rsidR="00865F49">
        <w:rPr>
          <w:sz w:val="22"/>
          <w:szCs w:val="22"/>
          <w:lang w:val="sr-Cyrl-CS"/>
        </w:rPr>
        <w:t xml:space="preserve">– Подручна јединица за стечај у Новом Саду, Булевар Михајла Пупина бр. 10, </w:t>
      </w:r>
      <w:r w:rsidR="00865F49">
        <w:rPr>
          <w:sz w:val="22"/>
          <w:szCs w:val="22"/>
          <w:lang w:val="sr-Latn-RS"/>
        </w:rPr>
        <w:t>V</w:t>
      </w:r>
      <w:r w:rsidR="00865F49">
        <w:rPr>
          <w:sz w:val="22"/>
          <w:szCs w:val="22"/>
          <w:lang w:val="sr-Cyrl-RS"/>
        </w:rPr>
        <w:t xml:space="preserve"> спрат, Нови Сад.</w:t>
      </w:r>
    </w:p>
    <w:p w14:paraId="2280523A" w14:textId="2FDF518B" w:rsidR="00865F49" w:rsidRDefault="00865F49" w:rsidP="00DD1228">
      <w:pPr>
        <w:jc w:val="both"/>
        <w:rPr>
          <w:sz w:val="22"/>
          <w:szCs w:val="22"/>
          <w:lang w:val="sr-Cyrl-RS"/>
        </w:rPr>
      </w:pPr>
    </w:p>
    <w:p w14:paraId="2547FD24" w14:textId="0DC36398" w:rsidR="00865F49" w:rsidRPr="00865F49" w:rsidRDefault="00865F49" w:rsidP="00DD1228">
      <w:pPr>
        <w:jc w:val="both"/>
        <w:rPr>
          <w:b/>
          <w:bCs/>
          <w:sz w:val="22"/>
          <w:szCs w:val="22"/>
          <w:lang w:val="sr-Cyrl-RS"/>
        </w:rPr>
      </w:pPr>
      <w:r w:rsidRPr="00865F49">
        <w:rPr>
          <w:b/>
          <w:bCs/>
          <w:sz w:val="22"/>
          <w:szCs w:val="22"/>
          <w:lang w:val="sr-Cyrl-RS"/>
        </w:rPr>
        <w:t>Крајњи рок за достављање понуда је 16.12.2020. године до 11:45 часова.</w:t>
      </w:r>
    </w:p>
    <w:p w14:paraId="1BD08853" w14:textId="77777777" w:rsidR="00865F49" w:rsidRPr="00865F49" w:rsidRDefault="00865F49" w:rsidP="00DD1228">
      <w:pPr>
        <w:jc w:val="both"/>
        <w:rPr>
          <w:sz w:val="22"/>
          <w:szCs w:val="22"/>
          <w:lang w:val="sr-Cyrl-RS"/>
        </w:rPr>
      </w:pPr>
    </w:p>
    <w:p w14:paraId="3810450E" w14:textId="4C8E446F" w:rsidR="00CE443D" w:rsidRPr="00CE443D" w:rsidRDefault="00CE443D" w:rsidP="00DD1228">
      <w:pPr>
        <w:jc w:val="both"/>
        <w:rPr>
          <w:b/>
          <w:bCs/>
          <w:sz w:val="22"/>
          <w:szCs w:val="22"/>
          <w:lang w:val="sr-Cyrl-CS"/>
        </w:rPr>
      </w:pPr>
      <w:r w:rsidRPr="00CE443D">
        <w:rPr>
          <w:b/>
          <w:bCs/>
          <w:sz w:val="22"/>
          <w:szCs w:val="22"/>
          <w:lang w:val="sr-Cyrl-CS"/>
        </w:rPr>
        <w:t>У разматрање ће се узети само понуде у писаној форми, достављене у запечаћеним ковертама, са назнаком „ПОНУДА - ИМОВИНСКА ЦЕЛИНА 1 – НЕ ОТВАРАТИ“ на коверти и називом стечајног дужника, а које пристигну на назначену адресу до назначеног времена.</w:t>
      </w:r>
    </w:p>
    <w:p w14:paraId="08E4376F" w14:textId="77777777" w:rsidR="00CE443D" w:rsidRPr="00CE443D" w:rsidRDefault="00CE443D" w:rsidP="00DD1228">
      <w:pPr>
        <w:jc w:val="both"/>
        <w:rPr>
          <w:b/>
          <w:bCs/>
          <w:sz w:val="22"/>
          <w:szCs w:val="22"/>
          <w:lang w:val="sr-Cyrl-CS"/>
        </w:rPr>
      </w:pPr>
    </w:p>
    <w:p w14:paraId="666CEBBC" w14:textId="77777777" w:rsidR="00007A22" w:rsidRPr="00FE2965" w:rsidRDefault="00007A22" w:rsidP="00007A22">
      <w:pPr>
        <w:jc w:val="both"/>
        <w:rPr>
          <w:b/>
          <w:bCs/>
          <w:noProof/>
          <w:sz w:val="22"/>
          <w:szCs w:val="22"/>
          <w:lang w:val="sr-Cyrl-BA"/>
        </w:rPr>
      </w:pPr>
      <w:r w:rsidRPr="00FE2965">
        <w:rPr>
          <w:b/>
          <w:noProof/>
          <w:sz w:val="22"/>
          <w:szCs w:val="22"/>
          <w:u w:val="single"/>
          <w:lang w:val="sr-Cyrl-BA"/>
        </w:rPr>
        <w:t>Запечаћена коверта са понудом треба да садржи:</w:t>
      </w:r>
    </w:p>
    <w:p w14:paraId="7B9C6B0D" w14:textId="77777777" w:rsidR="00007A22" w:rsidRPr="00FE2965" w:rsidRDefault="00007A22" w:rsidP="00007A22">
      <w:pPr>
        <w:jc w:val="both"/>
        <w:rPr>
          <w:b/>
          <w:noProof/>
          <w:sz w:val="22"/>
          <w:szCs w:val="22"/>
          <w:u w:val="single"/>
          <w:lang w:val="sr-Cyrl-BA"/>
        </w:rPr>
      </w:pPr>
    </w:p>
    <w:p w14:paraId="3AC3D72C" w14:textId="77777777" w:rsidR="00007A22" w:rsidRPr="00FE2965" w:rsidRDefault="00007A22" w:rsidP="00007A22">
      <w:pPr>
        <w:jc w:val="both"/>
        <w:rPr>
          <w:noProof/>
          <w:sz w:val="22"/>
          <w:szCs w:val="22"/>
          <w:lang w:val="sr-Cyrl-BA"/>
        </w:rPr>
      </w:pPr>
      <w:r w:rsidRPr="00FE2965">
        <w:rPr>
          <w:noProof/>
          <w:sz w:val="22"/>
          <w:szCs w:val="22"/>
          <w:lang w:val="sr-Cyrl-BA"/>
        </w:rPr>
        <w:t>-пријаву за учешће у поступку јавног прикупљања понуда потписану лично или од стране овлашћеног  лица и доказ да је у питању овлашћено лице,</w:t>
      </w:r>
    </w:p>
    <w:p w14:paraId="062279CC" w14:textId="77777777" w:rsidR="00007A22" w:rsidRPr="00FE2965" w:rsidRDefault="00007A22" w:rsidP="00007A22">
      <w:pPr>
        <w:jc w:val="both"/>
        <w:rPr>
          <w:noProof/>
          <w:sz w:val="22"/>
          <w:szCs w:val="22"/>
          <w:lang w:val="sr-Cyrl-BA"/>
        </w:rPr>
      </w:pPr>
      <w:r w:rsidRPr="00FE2965">
        <w:rPr>
          <w:noProof/>
          <w:sz w:val="22"/>
          <w:szCs w:val="22"/>
          <w:lang w:val="sr-Cyrl-BA"/>
        </w:rPr>
        <w:t>-потписану понуду, уз навођење јасно одређеног износа за куповину предмета продаје;</w:t>
      </w:r>
    </w:p>
    <w:p w14:paraId="73A72D2C" w14:textId="77777777" w:rsidR="00007A22" w:rsidRPr="00FE2965" w:rsidRDefault="00007A22" w:rsidP="00007A22">
      <w:pPr>
        <w:jc w:val="both"/>
        <w:rPr>
          <w:noProof/>
          <w:sz w:val="22"/>
          <w:szCs w:val="22"/>
          <w:lang w:val="sr-Cyrl-BA"/>
        </w:rPr>
      </w:pPr>
      <w:r w:rsidRPr="00FE2965">
        <w:rPr>
          <w:noProof/>
          <w:sz w:val="22"/>
          <w:szCs w:val="22"/>
          <w:lang w:val="sr-Cyrl-BA"/>
        </w:rPr>
        <w:t>-доказ о уплати депозита или копију банкарске гаранције;</w:t>
      </w:r>
    </w:p>
    <w:p w14:paraId="6F7CD550" w14:textId="77777777" w:rsidR="00007A22" w:rsidRPr="00FE2965" w:rsidRDefault="00007A22" w:rsidP="00007A22">
      <w:pPr>
        <w:jc w:val="both"/>
        <w:rPr>
          <w:noProof/>
          <w:sz w:val="22"/>
          <w:szCs w:val="22"/>
          <w:lang w:val="sr-Cyrl-BA"/>
        </w:rPr>
      </w:pPr>
      <w:r w:rsidRPr="00FE2965">
        <w:rPr>
          <w:noProof/>
          <w:sz w:val="22"/>
          <w:szCs w:val="22"/>
          <w:lang w:val="sr-Cyrl-BA"/>
        </w:rPr>
        <w:t xml:space="preserve">-потписану изјаву о губитку права на повраћај депозита; </w:t>
      </w:r>
    </w:p>
    <w:p w14:paraId="2310404C" w14:textId="77777777" w:rsidR="00007A22" w:rsidRPr="00FE2965" w:rsidRDefault="00007A22" w:rsidP="00007A22">
      <w:pPr>
        <w:jc w:val="both"/>
        <w:rPr>
          <w:noProof/>
          <w:sz w:val="22"/>
          <w:szCs w:val="22"/>
          <w:lang w:val="sr-Cyrl-BA"/>
        </w:rPr>
      </w:pPr>
      <w:r w:rsidRPr="00FE2965">
        <w:rPr>
          <w:noProof/>
          <w:sz w:val="22"/>
          <w:szCs w:val="22"/>
          <w:lang w:val="sr-Cyrl-BA"/>
        </w:rPr>
        <w:t>-извод из регистра привредних субјеката и ОП образац, ако се као потенцијални купац пријављује правно лице;</w:t>
      </w:r>
    </w:p>
    <w:p w14:paraId="417F5C2E" w14:textId="77777777" w:rsidR="00007A22" w:rsidRPr="00FE2965" w:rsidRDefault="00007A22" w:rsidP="00007A22">
      <w:pPr>
        <w:jc w:val="both"/>
        <w:rPr>
          <w:noProof/>
          <w:sz w:val="22"/>
          <w:szCs w:val="22"/>
          <w:lang w:val="sr-Cyrl-BA"/>
        </w:rPr>
      </w:pPr>
      <w:r w:rsidRPr="00FE2965">
        <w:rPr>
          <w:noProof/>
          <w:sz w:val="22"/>
          <w:szCs w:val="22"/>
          <w:lang w:val="sr-Cyrl-BA"/>
        </w:rPr>
        <w:t>-оригинал оверено овлашћење за заступање, oдносно предузимање конкретних радњи у поступку продаје (за пуномоћнике);</w:t>
      </w:r>
    </w:p>
    <w:p w14:paraId="4E002FDF" w14:textId="77777777" w:rsidR="00007A22" w:rsidRDefault="00007A22" w:rsidP="00007A22">
      <w:pPr>
        <w:jc w:val="both"/>
        <w:rPr>
          <w:noProof/>
          <w:sz w:val="22"/>
          <w:szCs w:val="22"/>
          <w:lang w:val="sr-Cyrl-BA"/>
        </w:rPr>
      </w:pPr>
      <w:r w:rsidRPr="00FE2965">
        <w:rPr>
          <w:noProof/>
          <w:sz w:val="22"/>
          <w:szCs w:val="22"/>
          <w:lang w:val="sr-Cyrl-BA"/>
        </w:rPr>
        <w:t>- у случају конзорцијума поред напред наведених доказа, доставља се и оригинал уговора о конзорцијуму  и оригинал овла</w:t>
      </w:r>
      <w:r>
        <w:rPr>
          <w:noProof/>
          <w:sz w:val="22"/>
          <w:szCs w:val="22"/>
          <w:lang w:val="sr-Cyrl-BA"/>
        </w:rPr>
        <w:t>шћења за заступање конзорцијума;</w:t>
      </w:r>
    </w:p>
    <w:p w14:paraId="066C0AFC" w14:textId="79EE2382" w:rsidR="00CD0651" w:rsidRPr="00C500D0" w:rsidRDefault="00CD0651" w:rsidP="00DD1228">
      <w:pPr>
        <w:jc w:val="both"/>
        <w:rPr>
          <w:sz w:val="22"/>
          <w:szCs w:val="22"/>
          <w:lang w:val="sr-Latn-RS"/>
        </w:rPr>
      </w:pPr>
    </w:p>
    <w:p w14:paraId="423FFF72" w14:textId="77777777" w:rsidR="00CD0651" w:rsidRPr="00FE2965" w:rsidRDefault="00CD0651" w:rsidP="00CD0651">
      <w:pPr>
        <w:jc w:val="both"/>
        <w:rPr>
          <w:sz w:val="22"/>
          <w:szCs w:val="22"/>
          <w:lang w:val="sr-Cyrl-CS"/>
        </w:rPr>
      </w:pPr>
      <w:r w:rsidRPr="00FE2965">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2C377FD2" w14:textId="77777777" w:rsidR="00CD0651" w:rsidRPr="00FE2965" w:rsidRDefault="00CD0651" w:rsidP="00CD0651">
      <w:pPr>
        <w:jc w:val="both"/>
        <w:rPr>
          <w:sz w:val="22"/>
          <w:szCs w:val="22"/>
          <w:lang w:val="sr-Cyrl-CS"/>
        </w:rPr>
      </w:pPr>
    </w:p>
    <w:p w14:paraId="682F7919" w14:textId="7EA0BB91" w:rsidR="00CD0651" w:rsidRPr="00FE2965" w:rsidRDefault="00CD0651" w:rsidP="00CD0651">
      <w:pPr>
        <w:jc w:val="both"/>
        <w:rPr>
          <w:noProof/>
          <w:sz w:val="22"/>
          <w:szCs w:val="22"/>
          <w:lang w:val="sr-Cyrl-BA"/>
        </w:rPr>
      </w:pPr>
      <w:r w:rsidRPr="00FE2965">
        <w:rPr>
          <w:noProof/>
          <w:sz w:val="22"/>
          <w:szCs w:val="22"/>
          <w:lang w:val="sr-Cyrl-BA"/>
        </w:rPr>
        <w:t xml:space="preserve">Јавно отварање понуда одржаће се дана </w:t>
      </w:r>
      <w:r>
        <w:rPr>
          <w:b/>
          <w:noProof/>
          <w:sz w:val="22"/>
          <w:szCs w:val="22"/>
          <w:lang w:val="sr-Latn-RS"/>
        </w:rPr>
        <w:t>1</w:t>
      </w:r>
      <w:r w:rsidR="00C500D0">
        <w:rPr>
          <w:b/>
          <w:noProof/>
          <w:sz w:val="22"/>
          <w:szCs w:val="22"/>
          <w:lang w:val="sr-Latn-RS"/>
        </w:rPr>
        <w:t>6</w:t>
      </w:r>
      <w:r w:rsidRPr="00FE2965">
        <w:rPr>
          <w:b/>
          <w:noProof/>
          <w:sz w:val="22"/>
          <w:szCs w:val="22"/>
          <w:lang w:val="sr-Cyrl-BA"/>
        </w:rPr>
        <w:t>.</w:t>
      </w:r>
      <w:r>
        <w:rPr>
          <w:b/>
          <w:noProof/>
          <w:sz w:val="22"/>
          <w:szCs w:val="22"/>
          <w:lang w:val="sr-Cyrl-BA"/>
        </w:rPr>
        <w:t>1</w:t>
      </w:r>
      <w:r w:rsidR="00C500D0">
        <w:rPr>
          <w:b/>
          <w:noProof/>
          <w:sz w:val="22"/>
          <w:szCs w:val="22"/>
          <w:lang w:val="sr-Latn-RS"/>
        </w:rPr>
        <w:t>2</w:t>
      </w:r>
      <w:r w:rsidRPr="00FE2965">
        <w:rPr>
          <w:b/>
          <w:noProof/>
          <w:sz w:val="22"/>
          <w:szCs w:val="22"/>
          <w:lang w:val="sr-Cyrl-BA"/>
        </w:rPr>
        <w:t>.2020. године у 12</w:t>
      </w:r>
      <w:r>
        <w:rPr>
          <w:b/>
          <w:noProof/>
          <w:sz w:val="22"/>
          <w:szCs w:val="22"/>
          <w:lang w:val="sr-Cyrl-RS"/>
        </w:rPr>
        <w:t>:</w:t>
      </w:r>
      <w:r w:rsidRPr="00FE2965">
        <w:rPr>
          <w:b/>
          <w:noProof/>
          <w:sz w:val="22"/>
          <w:szCs w:val="22"/>
          <w:lang w:val="sr-Latn-RS"/>
        </w:rPr>
        <w:t>00</w:t>
      </w:r>
      <w:r w:rsidRPr="00FE2965">
        <w:rPr>
          <w:b/>
          <w:noProof/>
          <w:sz w:val="22"/>
          <w:szCs w:val="22"/>
          <w:lang w:val="sr-Cyrl-BA"/>
        </w:rPr>
        <w:t xml:space="preserve"> часова</w:t>
      </w:r>
      <w:r w:rsidRPr="00FE2965">
        <w:rPr>
          <w:noProof/>
          <w:sz w:val="22"/>
          <w:szCs w:val="22"/>
          <w:lang w:val="sr-Cyrl-BA"/>
        </w:rPr>
        <w:t xml:space="preserve"> </w:t>
      </w:r>
      <w:r w:rsidRPr="00FE2965">
        <w:rPr>
          <w:b/>
          <w:noProof/>
          <w:sz w:val="22"/>
          <w:szCs w:val="22"/>
          <w:lang w:val="sr-Cyrl-BA"/>
        </w:rPr>
        <w:t>у просторијама Агенције за лиценцирање стечајних управника, Београд – Подручна јединица за стечај у Новом Саду, Булевар Михајла Пупина бр.10, V спрат, Нови Сад</w:t>
      </w:r>
      <w:r w:rsidRPr="00FE2965">
        <w:rPr>
          <w:noProof/>
          <w:sz w:val="22"/>
          <w:szCs w:val="22"/>
          <w:lang w:val="sr-Cyrl-BA"/>
        </w:rPr>
        <w:t>, у присуству Комисије за отварање понуда.</w:t>
      </w:r>
    </w:p>
    <w:p w14:paraId="00459DCF" w14:textId="7748A0BC" w:rsidR="00CD0651" w:rsidRPr="00FE2965" w:rsidRDefault="00CD0651" w:rsidP="00CD0651">
      <w:pPr>
        <w:spacing w:before="120"/>
        <w:jc w:val="both"/>
        <w:rPr>
          <w:b/>
          <w:bCs/>
          <w:sz w:val="22"/>
          <w:szCs w:val="22"/>
          <w:lang w:val="sr-Cyrl-CS"/>
        </w:rPr>
      </w:pPr>
      <w:r w:rsidRPr="00FE2965">
        <w:rPr>
          <w:bCs/>
          <w:sz w:val="22"/>
          <w:szCs w:val="22"/>
          <w:lang w:val="ru-RU"/>
        </w:rPr>
        <w:t xml:space="preserve">Позивају се </w:t>
      </w:r>
      <w:r w:rsidRPr="00FE2965">
        <w:rPr>
          <w:bCs/>
          <w:sz w:val="22"/>
          <w:szCs w:val="22"/>
          <w:lang w:val="sr-Cyrl-CS"/>
        </w:rPr>
        <w:t xml:space="preserve">понуђачи, као и </w:t>
      </w:r>
      <w:r w:rsidRPr="00FE2965">
        <w:rPr>
          <w:bCs/>
          <w:sz w:val="22"/>
          <w:szCs w:val="22"/>
          <w:lang w:val="ru-RU"/>
        </w:rPr>
        <w:t>чланови одбора поверилаца да присуствују отварању понуда.</w:t>
      </w:r>
      <w:r w:rsidR="00C500D0">
        <w:rPr>
          <w:bCs/>
          <w:sz w:val="22"/>
          <w:szCs w:val="22"/>
          <w:lang w:val="sr-Latn-RS"/>
        </w:rPr>
        <w:t xml:space="preserve"> </w:t>
      </w:r>
      <w:r w:rsidRPr="00FE2965">
        <w:rPr>
          <w:bCs/>
          <w:sz w:val="22"/>
          <w:szCs w:val="22"/>
          <w:lang w:val="ru-RU"/>
        </w:rPr>
        <w:t>Отварању понуда приступиће се и ако чланови одбора поверилаца или неко од понуђача не присуствује продаји.</w:t>
      </w:r>
    </w:p>
    <w:p w14:paraId="09C3CCFE" w14:textId="77777777" w:rsidR="00CD0651" w:rsidRPr="00FE2965" w:rsidRDefault="00CD0651" w:rsidP="00CD0651">
      <w:pPr>
        <w:jc w:val="both"/>
        <w:rPr>
          <w:b/>
          <w:sz w:val="22"/>
          <w:szCs w:val="22"/>
          <w:lang w:val="sr-Cyrl-CS"/>
        </w:rPr>
      </w:pPr>
    </w:p>
    <w:p w14:paraId="379BE7FE" w14:textId="77777777" w:rsidR="00CD0651" w:rsidRPr="00FE2965" w:rsidRDefault="00CD0651" w:rsidP="00CD0651">
      <w:pPr>
        <w:jc w:val="both"/>
        <w:rPr>
          <w:noProof/>
          <w:sz w:val="22"/>
          <w:szCs w:val="22"/>
          <w:lang w:val="sr-Cyrl-BA"/>
        </w:rPr>
      </w:pPr>
      <w:r w:rsidRPr="00FE2965">
        <w:rPr>
          <w:noProof/>
          <w:sz w:val="22"/>
          <w:szCs w:val="22"/>
          <w:lang w:val="sr-Cyrl-BA"/>
        </w:rPr>
        <w:t>Стечајни управник спроводи јавно прикупљање понуда тако што:</w:t>
      </w:r>
    </w:p>
    <w:p w14:paraId="731FDA92" w14:textId="77777777" w:rsidR="00CD0651" w:rsidRPr="00FE2965" w:rsidRDefault="00CD0651" w:rsidP="00CD0651">
      <w:pPr>
        <w:numPr>
          <w:ilvl w:val="0"/>
          <w:numId w:val="2"/>
        </w:numPr>
        <w:jc w:val="both"/>
        <w:rPr>
          <w:noProof/>
          <w:sz w:val="22"/>
          <w:szCs w:val="22"/>
          <w:lang w:val="sr-Cyrl-BA"/>
        </w:rPr>
      </w:pPr>
      <w:r w:rsidRPr="00FE2965">
        <w:rPr>
          <w:noProof/>
          <w:sz w:val="22"/>
          <w:szCs w:val="22"/>
          <w:lang w:val="sr-Cyrl-BA"/>
        </w:rPr>
        <w:t>чита правила у поступку јавног прикупљања понуда,</w:t>
      </w:r>
    </w:p>
    <w:p w14:paraId="281105C2" w14:textId="77777777" w:rsidR="00CD0651" w:rsidRPr="00FE2965" w:rsidRDefault="00CD0651" w:rsidP="00CD0651">
      <w:pPr>
        <w:numPr>
          <w:ilvl w:val="0"/>
          <w:numId w:val="2"/>
        </w:numPr>
        <w:jc w:val="both"/>
        <w:rPr>
          <w:noProof/>
          <w:sz w:val="22"/>
          <w:szCs w:val="22"/>
          <w:lang w:val="sr-Cyrl-BA"/>
        </w:rPr>
      </w:pPr>
      <w:r w:rsidRPr="00FE2965">
        <w:rPr>
          <w:noProof/>
          <w:sz w:val="22"/>
          <w:szCs w:val="22"/>
          <w:lang w:val="sr-Cyrl-BA"/>
        </w:rPr>
        <w:t>отвара достављене понуде,</w:t>
      </w:r>
    </w:p>
    <w:p w14:paraId="30169A8D" w14:textId="77777777" w:rsidR="00CD0651" w:rsidRPr="00FE2965" w:rsidRDefault="00CD0651" w:rsidP="00CD0651">
      <w:pPr>
        <w:numPr>
          <w:ilvl w:val="0"/>
          <w:numId w:val="2"/>
        </w:numPr>
        <w:jc w:val="both"/>
        <w:rPr>
          <w:noProof/>
          <w:sz w:val="22"/>
          <w:szCs w:val="22"/>
          <w:lang w:val="sr-Cyrl-BA"/>
        </w:rPr>
      </w:pPr>
      <w:r w:rsidRPr="00FE2965">
        <w:rPr>
          <w:noProof/>
          <w:sz w:val="22"/>
          <w:szCs w:val="22"/>
          <w:lang w:val="sr-Cyrl-BA"/>
        </w:rPr>
        <w:t>рангира понуђаче према висини достављених понуда,</w:t>
      </w:r>
    </w:p>
    <w:p w14:paraId="6E33DA1A" w14:textId="77777777" w:rsidR="00CD0651" w:rsidRPr="00FE2965" w:rsidRDefault="00CD0651" w:rsidP="00CD0651">
      <w:pPr>
        <w:numPr>
          <w:ilvl w:val="0"/>
          <w:numId w:val="2"/>
        </w:numPr>
        <w:jc w:val="both"/>
        <w:rPr>
          <w:noProof/>
          <w:sz w:val="22"/>
          <w:szCs w:val="22"/>
          <w:lang w:val="sr-Cyrl-BA"/>
        </w:rPr>
      </w:pPr>
      <w:r w:rsidRPr="00FE2965">
        <w:rPr>
          <w:noProof/>
          <w:sz w:val="22"/>
          <w:szCs w:val="22"/>
          <w:lang w:val="sr-Cyrl-BA"/>
        </w:rPr>
        <w:t>одржава ред на јавном прикупљању понуда,</w:t>
      </w:r>
    </w:p>
    <w:p w14:paraId="56431134" w14:textId="77777777" w:rsidR="00CD0651" w:rsidRPr="00FE2965" w:rsidRDefault="00CD0651" w:rsidP="00CD0651">
      <w:pPr>
        <w:numPr>
          <w:ilvl w:val="0"/>
          <w:numId w:val="2"/>
        </w:numPr>
        <w:tabs>
          <w:tab w:val="clear" w:pos="720"/>
          <w:tab w:val="num" w:pos="426"/>
        </w:tabs>
        <w:ind w:left="709"/>
        <w:jc w:val="both"/>
        <w:rPr>
          <w:noProof/>
          <w:sz w:val="22"/>
          <w:szCs w:val="22"/>
          <w:lang w:val="sr-Cyrl-BA"/>
        </w:rPr>
      </w:pPr>
      <w:r w:rsidRPr="00FE2965">
        <w:rPr>
          <w:noProof/>
          <w:sz w:val="22"/>
          <w:szCs w:val="22"/>
          <w:lang w:val="sr-Cyrl-BA"/>
        </w:rPr>
        <w:t>проглашава најбољег понуђача за купца, уколико је највиша понуђена цена изнад 50% од процењене вредности предмета продаје,</w:t>
      </w:r>
    </w:p>
    <w:p w14:paraId="65F7D82C" w14:textId="77777777" w:rsidR="00CD0651" w:rsidRPr="00FE2965" w:rsidRDefault="00CD0651" w:rsidP="00CD0651">
      <w:pPr>
        <w:numPr>
          <w:ilvl w:val="0"/>
          <w:numId w:val="2"/>
        </w:numPr>
        <w:ind w:left="709" w:hanging="349"/>
        <w:jc w:val="both"/>
        <w:rPr>
          <w:noProof/>
          <w:sz w:val="22"/>
          <w:szCs w:val="22"/>
          <w:lang w:val="sr-Cyrl-BA"/>
        </w:rPr>
      </w:pPr>
      <w:r w:rsidRPr="00FE2965">
        <w:rPr>
          <w:noProof/>
          <w:sz w:val="22"/>
          <w:szCs w:val="22"/>
          <w:lang w:val="sr-Cyrl-BA"/>
        </w:rPr>
        <w:t>доставља понуду најбољег понуђача одбору поверилаца на изјашњење, уколико је иста нижа од 50% од процењене вредности предмета продаје,</w:t>
      </w:r>
    </w:p>
    <w:p w14:paraId="702CF97B" w14:textId="77777777" w:rsidR="00CD0651" w:rsidRPr="00FE2965" w:rsidRDefault="00CD0651" w:rsidP="00CD0651">
      <w:pPr>
        <w:numPr>
          <w:ilvl w:val="0"/>
          <w:numId w:val="2"/>
        </w:numPr>
        <w:jc w:val="both"/>
        <w:rPr>
          <w:noProof/>
          <w:sz w:val="22"/>
          <w:szCs w:val="22"/>
          <w:lang w:val="sr-Cyrl-BA"/>
        </w:rPr>
      </w:pPr>
      <w:r w:rsidRPr="00FE2965">
        <w:rPr>
          <w:noProof/>
          <w:sz w:val="22"/>
          <w:szCs w:val="22"/>
          <w:lang w:val="sr-Cyrl-BA"/>
        </w:rPr>
        <w:t>потписује записник.</w:t>
      </w:r>
    </w:p>
    <w:p w14:paraId="086BDA4C" w14:textId="77777777" w:rsidR="00CD0651" w:rsidRPr="00FE2965" w:rsidRDefault="00CD0651" w:rsidP="00CD0651">
      <w:pPr>
        <w:jc w:val="both"/>
        <w:rPr>
          <w:noProof/>
          <w:sz w:val="22"/>
          <w:szCs w:val="22"/>
          <w:lang w:val="sr-Cyrl-BA"/>
        </w:rPr>
      </w:pPr>
    </w:p>
    <w:p w14:paraId="2CA25DC4" w14:textId="77777777" w:rsidR="00CD0651" w:rsidRPr="00FE2965" w:rsidRDefault="00CD0651" w:rsidP="00CD0651">
      <w:pPr>
        <w:jc w:val="both"/>
        <w:rPr>
          <w:b/>
          <w:bCs/>
          <w:noProof/>
          <w:sz w:val="22"/>
          <w:szCs w:val="22"/>
          <w:lang w:val="sr-Cyrl-BA"/>
        </w:rPr>
      </w:pPr>
      <w:r w:rsidRPr="00FE2965">
        <w:rPr>
          <w:b/>
          <w:bCs/>
          <w:noProof/>
          <w:sz w:val="22"/>
          <w:szCs w:val="22"/>
          <w:lang w:val="sr-Cyrl-BA"/>
        </w:rPr>
        <w:t>Стечајни управник је дужан да прихвати највишу достављену понуду, уколико је иста изнад 50% од процењене вредности предмета продаје</w:t>
      </w:r>
      <w:r w:rsidRPr="00FE2965">
        <w:rPr>
          <w:bCs/>
          <w:noProof/>
          <w:sz w:val="22"/>
          <w:szCs w:val="22"/>
          <w:lang w:val="sr-Cyrl-BA"/>
        </w:rPr>
        <w:t xml:space="preserve">. </w:t>
      </w:r>
      <w:r w:rsidRPr="00FE2965">
        <w:rPr>
          <w:b/>
          <w:bCs/>
          <w:noProof/>
          <w:sz w:val="22"/>
          <w:szCs w:val="22"/>
          <w:lang w:val="sr-Cyrl-BA"/>
        </w:rPr>
        <w:t xml:space="preserve">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w:t>
      </w:r>
      <w:r>
        <w:rPr>
          <w:b/>
          <w:bCs/>
          <w:noProof/>
          <w:sz w:val="22"/>
          <w:szCs w:val="22"/>
          <w:lang w:val="sr-Cyrl-BA"/>
        </w:rPr>
        <w:t>О</w:t>
      </w:r>
      <w:r w:rsidRPr="00FE2965">
        <w:rPr>
          <w:b/>
          <w:bCs/>
          <w:noProof/>
          <w:sz w:val="22"/>
          <w:szCs w:val="22"/>
          <w:lang w:val="sr-Cyrl-BA"/>
        </w:rPr>
        <w:t>дбора поверилаца.</w:t>
      </w:r>
    </w:p>
    <w:p w14:paraId="6BF3FEF8" w14:textId="77777777" w:rsidR="00CD0651" w:rsidRPr="00FE2965" w:rsidRDefault="00CD0651" w:rsidP="00CD0651">
      <w:pPr>
        <w:jc w:val="both"/>
        <w:rPr>
          <w:b/>
          <w:bCs/>
          <w:noProof/>
          <w:sz w:val="22"/>
          <w:szCs w:val="22"/>
          <w:lang w:val="sr-Cyrl-BA"/>
        </w:rPr>
      </w:pPr>
    </w:p>
    <w:p w14:paraId="0A8956F9" w14:textId="77777777" w:rsidR="00CD0651" w:rsidRPr="00FE2965" w:rsidRDefault="00CD0651" w:rsidP="00CD0651">
      <w:pPr>
        <w:jc w:val="both"/>
        <w:rPr>
          <w:noProof/>
          <w:sz w:val="22"/>
          <w:szCs w:val="22"/>
          <w:lang w:val="sr-Cyrl-BA"/>
        </w:rPr>
      </w:pPr>
      <w:r w:rsidRPr="00FE2965">
        <w:rPr>
          <w:noProof/>
          <w:sz w:val="22"/>
          <w:szCs w:val="22"/>
          <w:lang w:val="sr-Cyrl-BA"/>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E2965">
        <w:rPr>
          <w:b/>
          <w:bCs/>
          <w:noProof/>
          <w:sz w:val="22"/>
          <w:szCs w:val="22"/>
          <w:lang w:val="sr-Cyrl-BA"/>
        </w:rPr>
        <w:t xml:space="preserve">2 радна дана </w:t>
      </w:r>
      <w:r w:rsidRPr="00FE2965">
        <w:rPr>
          <w:noProof/>
          <w:sz w:val="22"/>
          <w:szCs w:val="22"/>
          <w:lang w:val="sr-Cyrl-BA"/>
        </w:rPr>
        <w:t>од дана пријема обавештења о прихватању понуде, а пре потписивања купопродајног уговора, након че</w:t>
      </w:r>
      <w:r>
        <w:rPr>
          <w:noProof/>
          <w:sz w:val="22"/>
          <w:szCs w:val="22"/>
          <w:lang w:val="sr-Cyrl-BA"/>
        </w:rPr>
        <w:t>га ће му бити враћена гаранција.</w:t>
      </w:r>
    </w:p>
    <w:p w14:paraId="51DA5111" w14:textId="77777777" w:rsidR="00CD0651" w:rsidRPr="00FE2965" w:rsidRDefault="00CD0651" w:rsidP="00CD0651">
      <w:pPr>
        <w:jc w:val="both"/>
        <w:rPr>
          <w:b/>
          <w:noProof/>
          <w:sz w:val="22"/>
          <w:szCs w:val="22"/>
          <w:lang w:val="sr-Cyrl-BA"/>
        </w:rPr>
      </w:pPr>
    </w:p>
    <w:p w14:paraId="3F64E55F" w14:textId="77777777" w:rsidR="00CD0651" w:rsidRPr="00FE2965" w:rsidRDefault="00CD0651" w:rsidP="00CD0651">
      <w:pPr>
        <w:jc w:val="both"/>
        <w:rPr>
          <w:noProof/>
          <w:sz w:val="22"/>
          <w:szCs w:val="22"/>
          <w:lang w:val="sr-Cyrl-BA"/>
        </w:rPr>
      </w:pPr>
      <w:r w:rsidRPr="00FE2965">
        <w:rPr>
          <w:noProof/>
          <w:sz w:val="22"/>
          <w:szCs w:val="22"/>
          <w:lang w:val="sr-Cyrl-BA"/>
        </w:rPr>
        <w:t xml:space="preserve">Купопродајни уговор се потписује у року од </w:t>
      </w:r>
      <w:r w:rsidRPr="00FE2965">
        <w:rPr>
          <w:b/>
          <w:noProof/>
          <w:sz w:val="22"/>
          <w:szCs w:val="22"/>
          <w:lang w:val="sr-Cyrl-BA"/>
        </w:rPr>
        <w:t>5 радних дана</w:t>
      </w:r>
      <w:r w:rsidRPr="00FE2965">
        <w:rPr>
          <w:noProof/>
          <w:sz w:val="22"/>
          <w:szCs w:val="22"/>
          <w:lang w:val="sr-Cyrl-BA"/>
        </w:rPr>
        <w:t xml:space="preserve"> од дана отварања понуда, под условом да је депозит који је обезбеђен гаранцијом уплаћен на рачун стечајног дужника и да је понуђена цена изнад 50% процењене вредности стечајног дужника као правног лица. Уколико је понуђена цена испод 50% процењене вредности стечајног дужника као правног лица, купопродајни уговор се потписује у року од </w:t>
      </w:r>
      <w:r w:rsidRPr="00FE2965">
        <w:rPr>
          <w:b/>
          <w:noProof/>
          <w:sz w:val="22"/>
          <w:szCs w:val="22"/>
          <w:lang w:val="sr-Cyrl-BA"/>
        </w:rPr>
        <w:t>5 радних дана</w:t>
      </w:r>
      <w:r w:rsidRPr="00FE2965">
        <w:rPr>
          <w:noProof/>
          <w:sz w:val="22"/>
          <w:szCs w:val="22"/>
          <w:lang w:val="sr-Cyrl-BA"/>
        </w:rPr>
        <w:t xml:space="preserve"> од дана пријема обавештења од стране најбољег понуђача о прихваћеној понуди, a након добијања сагласности </w:t>
      </w:r>
      <w:r>
        <w:rPr>
          <w:noProof/>
          <w:sz w:val="22"/>
          <w:szCs w:val="22"/>
          <w:lang w:val="sr-Cyrl-BA"/>
        </w:rPr>
        <w:t>О</w:t>
      </w:r>
      <w:r w:rsidRPr="00FE2965">
        <w:rPr>
          <w:noProof/>
          <w:sz w:val="22"/>
          <w:szCs w:val="22"/>
          <w:lang w:val="sr-Cyrl-BA"/>
        </w:rPr>
        <w:t xml:space="preserve">дбора поверилаца, док се депозит, уколико је исти обезбеђен банкарском гаранцијом, мора уплатити у року од </w:t>
      </w:r>
      <w:r w:rsidRPr="00FE2965">
        <w:rPr>
          <w:b/>
          <w:noProof/>
          <w:sz w:val="22"/>
          <w:szCs w:val="22"/>
          <w:lang w:val="sr-Cyrl-BA"/>
        </w:rPr>
        <w:t>2 радна дана</w:t>
      </w:r>
      <w:r w:rsidRPr="00FE2965">
        <w:rPr>
          <w:noProof/>
          <w:sz w:val="22"/>
          <w:szCs w:val="22"/>
          <w:lang w:val="sr-Cyrl-BA"/>
        </w:rPr>
        <w:t xml:space="preserve"> од дана пријема обавештења о прихваћеној понуди. </w:t>
      </w:r>
    </w:p>
    <w:p w14:paraId="1CC05271" w14:textId="77777777" w:rsidR="00CD0651" w:rsidRPr="00FE2965" w:rsidRDefault="00CD0651" w:rsidP="00CD0651">
      <w:pPr>
        <w:jc w:val="both"/>
        <w:rPr>
          <w:noProof/>
          <w:sz w:val="22"/>
          <w:szCs w:val="22"/>
          <w:lang w:val="sr-Cyrl-BA"/>
        </w:rPr>
      </w:pPr>
    </w:p>
    <w:p w14:paraId="1927863B" w14:textId="4981BB4B" w:rsidR="00CD0651" w:rsidRPr="00FE2965" w:rsidRDefault="00CD0651" w:rsidP="00CD0651">
      <w:pPr>
        <w:jc w:val="both"/>
        <w:rPr>
          <w:noProof/>
          <w:sz w:val="22"/>
          <w:szCs w:val="22"/>
          <w:lang w:val="sr-Cyrl-BA"/>
        </w:rPr>
      </w:pPr>
      <w:r w:rsidRPr="00FE2965">
        <w:rPr>
          <w:noProof/>
          <w:sz w:val="22"/>
          <w:szCs w:val="22"/>
          <w:lang w:val="sr-Cyrl-BA"/>
        </w:rPr>
        <w:t xml:space="preserve">Проглашени купац је дужан да уплати преостали износ купопродајне цене у року од </w:t>
      </w:r>
      <w:r w:rsidRPr="00FE2965">
        <w:rPr>
          <w:b/>
          <w:noProof/>
          <w:sz w:val="22"/>
          <w:szCs w:val="22"/>
          <w:lang w:val="sr-Cyrl-BA"/>
        </w:rPr>
        <w:t>8 дана</w:t>
      </w:r>
      <w:r w:rsidRPr="00FE2965">
        <w:rPr>
          <w:noProof/>
          <w:sz w:val="22"/>
          <w:szCs w:val="22"/>
          <w:lang w:val="sr-Cyrl-BA"/>
        </w:rPr>
        <w:t xml:space="preserve"> од дана потписивања купопродајног уговора. </w:t>
      </w:r>
    </w:p>
    <w:p w14:paraId="1C553C5C" w14:textId="77777777" w:rsidR="00CD0651" w:rsidRPr="00FE2965" w:rsidRDefault="00CD0651" w:rsidP="00CD0651">
      <w:pPr>
        <w:jc w:val="both"/>
        <w:rPr>
          <w:noProof/>
          <w:sz w:val="22"/>
          <w:szCs w:val="22"/>
          <w:lang w:val="sr-Cyrl-BA"/>
        </w:rPr>
      </w:pPr>
    </w:p>
    <w:p w14:paraId="0CF94E5F" w14:textId="77777777" w:rsidR="00CD0651" w:rsidRPr="00FE2965" w:rsidRDefault="00CD0651" w:rsidP="00CD0651">
      <w:pPr>
        <w:jc w:val="both"/>
        <w:rPr>
          <w:noProof/>
          <w:sz w:val="22"/>
          <w:szCs w:val="22"/>
          <w:lang w:val="sr-Cyrl-BA"/>
        </w:rPr>
      </w:pPr>
      <w:r w:rsidRPr="00FE2965">
        <w:rPr>
          <w:noProof/>
          <w:sz w:val="22"/>
          <w:szCs w:val="22"/>
          <w:lang w:val="sr-Cyrl-BA"/>
        </w:rPr>
        <w:t>Стечајни управник ће вратити депозит сваком понуђачу чија понуда не буде прихваћена, у року од 3 радна дана од дана одржавања јавног прикупљања понуда. Понуђач губи право на повраћај депозита уколико:</w:t>
      </w:r>
    </w:p>
    <w:p w14:paraId="534047C9" w14:textId="77777777" w:rsidR="00CD0651" w:rsidRPr="00FE2965" w:rsidRDefault="00CD0651" w:rsidP="00CD0651">
      <w:pPr>
        <w:jc w:val="both"/>
        <w:rPr>
          <w:noProof/>
          <w:sz w:val="22"/>
          <w:szCs w:val="22"/>
          <w:lang w:val="sr-Cyrl-BA"/>
        </w:rPr>
      </w:pPr>
      <w:r w:rsidRPr="00FE2965">
        <w:rPr>
          <w:noProof/>
          <w:sz w:val="22"/>
          <w:szCs w:val="22"/>
          <w:lang w:val="sr-Cyrl-BA"/>
        </w:rPr>
        <w:t xml:space="preserve">-не поднесе понуду, или поднесе понуду која не садржи обавезне елементе; </w:t>
      </w:r>
    </w:p>
    <w:p w14:paraId="640EC97A" w14:textId="77777777" w:rsidR="00CD0651" w:rsidRPr="00FE2965" w:rsidRDefault="00CD0651" w:rsidP="00CD0651">
      <w:pPr>
        <w:jc w:val="both"/>
        <w:rPr>
          <w:noProof/>
          <w:sz w:val="22"/>
          <w:szCs w:val="22"/>
          <w:lang w:val="sr-Cyrl-BA"/>
        </w:rPr>
      </w:pPr>
      <w:r w:rsidRPr="00FE2965">
        <w:rPr>
          <w:noProof/>
          <w:sz w:val="22"/>
          <w:szCs w:val="22"/>
          <w:lang w:val="sr-Cyrl-BA"/>
        </w:rPr>
        <w:t>-не потпише купопродајни уговор, или</w:t>
      </w:r>
    </w:p>
    <w:p w14:paraId="265436E5" w14:textId="77777777" w:rsidR="00CD0651" w:rsidRPr="00FE2965" w:rsidRDefault="00CD0651" w:rsidP="00CD0651">
      <w:pPr>
        <w:jc w:val="both"/>
        <w:rPr>
          <w:noProof/>
          <w:sz w:val="22"/>
          <w:szCs w:val="22"/>
          <w:lang w:val="sr-Cyrl-BA"/>
        </w:rPr>
      </w:pPr>
      <w:r w:rsidRPr="00FE2965">
        <w:rPr>
          <w:noProof/>
          <w:sz w:val="22"/>
          <w:szCs w:val="22"/>
          <w:lang w:val="sr-Cyrl-BA"/>
        </w:rPr>
        <w:t xml:space="preserve">-буде проглашен за купца, а не уплати купопродајну цену у предвиђеном року и на прописани начин. </w:t>
      </w:r>
    </w:p>
    <w:p w14:paraId="07CAC669" w14:textId="77777777" w:rsidR="00CD0651" w:rsidRPr="00FE2965" w:rsidRDefault="00CD0651" w:rsidP="00CD0651">
      <w:pPr>
        <w:spacing w:line="276" w:lineRule="auto"/>
        <w:jc w:val="both"/>
        <w:rPr>
          <w:b/>
          <w:sz w:val="22"/>
          <w:szCs w:val="22"/>
          <w:lang w:val="sr-Cyrl-CS"/>
        </w:rPr>
      </w:pPr>
    </w:p>
    <w:p w14:paraId="092A6E1C" w14:textId="77777777" w:rsidR="00CD0651" w:rsidRPr="00FE2965" w:rsidRDefault="00CD0651" w:rsidP="00CD0651">
      <w:pPr>
        <w:spacing w:line="276" w:lineRule="auto"/>
        <w:jc w:val="both"/>
        <w:rPr>
          <w:b/>
          <w:sz w:val="22"/>
          <w:szCs w:val="22"/>
          <w:lang w:val="sr-Cyrl-CS"/>
        </w:rPr>
      </w:pPr>
      <w:r w:rsidRPr="00FE2965">
        <w:rPr>
          <w:b/>
          <w:sz w:val="22"/>
          <w:szCs w:val="22"/>
          <w:lang w:val="sr-Cyrl-CS"/>
        </w:rPr>
        <w:t>Порезе и трошкове који произлазе из закљученог купопродајног уговора у целости сноси купац.</w:t>
      </w:r>
    </w:p>
    <w:p w14:paraId="3BCED1FC" w14:textId="77777777" w:rsidR="00CD0651" w:rsidRPr="00FE2965" w:rsidRDefault="00CD0651" w:rsidP="00CD0651">
      <w:pPr>
        <w:spacing w:line="276" w:lineRule="auto"/>
        <w:jc w:val="both"/>
        <w:rPr>
          <w:sz w:val="22"/>
          <w:szCs w:val="22"/>
          <w:lang w:val="sr-Cyrl-CS"/>
        </w:rPr>
      </w:pPr>
    </w:p>
    <w:p w14:paraId="085A71AA" w14:textId="77777777" w:rsidR="00CD0651" w:rsidRPr="00FE2965" w:rsidRDefault="00CD0651" w:rsidP="002A2C8E">
      <w:pPr>
        <w:jc w:val="both"/>
        <w:rPr>
          <w:sz w:val="22"/>
          <w:szCs w:val="22"/>
          <w:lang w:val="sr-Cyrl-CS"/>
        </w:rPr>
      </w:pPr>
      <w:r w:rsidRPr="00FE2965">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FE2965">
        <w:rPr>
          <w:i/>
          <w:sz w:val="22"/>
          <w:szCs w:val="22"/>
          <w:lang w:val="sr-Cyrl-CS"/>
        </w:rPr>
        <w:t>Сл. гласник РС“ бр. 51/200 и 95/2013</w:t>
      </w:r>
      <w:r w:rsidRPr="00FE2965">
        <w:rPr>
          <w:sz w:val="22"/>
          <w:szCs w:val="22"/>
          <w:lang w:val="sr-Cyrl-CS"/>
        </w:rPr>
        <w:t>), услови и рокови закључења уговора биће прилагођени роковима одлучивања Комисије за заштиту конкуренције. У наведеном случају депозит ће бити задржан до доношења одлуке Комисије за заштиту конкуренције.</w:t>
      </w:r>
    </w:p>
    <w:p w14:paraId="10C73451" w14:textId="77777777" w:rsidR="00CD0651" w:rsidRPr="00FE2965" w:rsidRDefault="00CD0651" w:rsidP="002A2C8E">
      <w:pPr>
        <w:jc w:val="both"/>
        <w:rPr>
          <w:sz w:val="22"/>
          <w:szCs w:val="22"/>
          <w:lang w:val="sr-Cyrl-CS"/>
        </w:rPr>
      </w:pPr>
    </w:p>
    <w:p w14:paraId="452ECBAF" w14:textId="77777777" w:rsidR="00CD0651" w:rsidRPr="00FE2965" w:rsidRDefault="00CD0651" w:rsidP="00CD0651">
      <w:pPr>
        <w:jc w:val="both"/>
        <w:rPr>
          <w:i/>
          <w:iCs/>
          <w:sz w:val="22"/>
          <w:szCs w:val="22"/>
          <w:lang w:val="sr-Cyrl-CS"/>
        </w:rPr>
      </w:pPr>
      <w:r w:rsidRPr="00FE2965">
        <w:rPr>
          <w:b/>
          <w:i/>
          <w:iCs/>
          <w:sz w:val="22"/>
          <w:szCs w:val="22"/>
          <w:lang w:val="sr-Cyrl-CS"/>
        </w:rPr>
        <w:t>Напомена:</w:t>
      </w:r>
      <w:r w:rsidRPr="00FE2965">
        <w:rPr>
          <w:i/>
          <w:iCs/>
          <w:sz w:val="22"/>
          <w:szCs w:val="22"/>
          <w:lang w:val="sr-Cyrl-CS"/>
        </w:rPr>
        <w:t xml:space="preserve">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2F48E49F" w14:textId="77777777" w:rsidR="00CD0651" w:rsidRPr="00FE2965" w:rsidRDefault="00CD0651" w:rsidP="00CD0651">
      <w:pPr>
        <w:spacing w:line="276" w:lineRule="auto"/>
        <w:rPr>
          <w:sz w:val="22"/>
          <w:szCs w:val="22"/>
          <w:lang w:val="ru-RU"/>
        </w:rPr>
      </w:pPr>
    </w:p>
    <w:p w14:paraId="1A777EC2" w14:textId="77777777" w:rsidR="00CD0651" w:rsidRPr="00FE2965" w:rsidRDefault="00CD0651" w:rsidP="00CD0651">
      <w:pPr>
        <w:jc w:val="both"/>
        <w:rPr>
          <w:b/>
          <w:sz w:val="22"/>
          <w:szCs w:val="22"/>
          <w:lang w:val="sr-Cyrl-RS"/>
        </w:rPr>
      </w:pPr>
    </w:p>
    <w:p w14:paraId="760B05B1" w14:textId="77777777" w:rsidR="00DD1228" w:rsidRPr="009B1FD4" w:rsidRDefault="00DD1228" w:rsidP="00DD1228">
      <w:pPr>
        <w:jc w:val="both"/>
        <w:rPr>
          <w:sz w:val="22"/>
          <w:szCs w:val="22"/>
          <w:lang w:val="sr-Cyrl-CS"/>
        </w:rPr>
      </w:pPr>
      <w:r w:rsidRPr="009B1FD4">
        <w:rPr>
          <w:sz w:val="22"/>
          <w:szCs w:val="22"/>
          <w:lang w:val="sr-Cyrl-CS"/>
        </w:rPr>
        <w:t xml:space="preserve">Овлашћено лице: </w:t>
      </w:r>
    </w:p>
    <w:p w14:paraId="1FE63BDB" w14:textId="77777777" w:rsidR="00DD1228" w:rsidRPr="00CF11EA" w:rsidRDefault="00DD1228" w:rsidP="00DD1228">
      <w:pPr>
        <w:jc w:val="both"/>
        <w:rPr>
          <w:sz w:val="22"/>
          <w:szCs w:val="22"/>
          <w:lang w:val="sr-Cyrl-CS"/>
        </w:rPr>
      </w:pPr>
      <w:r w:rsidRPr="009B1FD4">
        <w:rPr>
          <w:sz w:val="22"/>
          <w:szCs w:val="22"/>
          <w:lang w:val="sr-Cyrl-CS"/>
        </w:rPr>
        <w:t xml:space="preserve">Повереник  </w:t>
      </w:r>
      <w:r w:rsidR="00CF11EA">
        <w:rPr>
          <w:sz w:val="22"/>
          <w:szCs w:val="22"/>
          <w:lang w:val="sr-Cyrl-CS"/>
        </w:rPr>
        <w:t>Павел Северињи</w:t>
      </w:r>
      <w:r w:rsidRPr="00CD0651">
        <w:rPr>
          <w:bCs/>
          <w:sz w:val="22"/>
          <w:szCs w:val="22"/>
          <w:lang w:val="sr-Cyrl-CS"/>
        </w:rPr>
        <w:t>,</w:t>
      </w:r>
      <w:r w:rsidRPr="009B1FD4">
        <w:rPr>
          <w:b/>
          <w:sz w:val="22"/>
          <w:szCs w:val="22"/>
          <w:lang w:val="sr-Cyrl-CS"/>
        </w:rPr>
        <w:t xml:space="preserve"> </w:t>
      </w:r>
      <w:r w:rsidR="00CF11EA">
        <w:rPr>
          <w:sz w:val="22"/>
          <w:szCs w:val="22"/>
          <w:lang w:val="sr-Cyrl-CS"/>
        </w:rPr>
        <w:t>контакт телефон: 062/801-5905</w:t>
      </w:r>
      <w:r w:rsidRPr="009B1FD4">
        <w:rPr>
          <w:sz w:val="22"/>
          <w:szCs w:val="22"/>
          <w:lang w:val="sr-Cyrl-CS"/>
        </w:rPr>
        <w:t>, е-</w:t>
      </w:r>
      <w:r w:rsidRPr="009B1FD4">
        <w:rPr>
          <w:sz w:val="22"/>
          <w:szCs w:val="22"/>
        </w:rPr>
        <w:t>mail</w:t>
      </w:r>
      <w:r w:rsidRPr="009B1FD4">
        <w:rPr>
          <w:sz w:val="22"/>
          <w:szCs w:val="22"/>
          <w:lang w:val="sr-Cyrl-CS"/>
        </w:rPr>
        <w:t>:</w:t>
      </w:r>
      <w:r w:rsidR="00CF11EA">
        <w:rPr>
          <w:sz w:val="22"/>
          <w:szCs w:val="22"/>
        </w:rPr>
        <w:t xml:space="preserve"> </w:t>
      </w:r>
      <w:r w:rsidR="00CF11EA" w:rsidRPr="00CF11EA">
        <w:rPr>
          <w:sz w:val="22"/>
          <w:szCs w:val="22"/>
        </w:rPr>
        <w:t>sever1@stcable.net</w:t>
      </w:r>
    </w:p>
    <w:p w14:paraId="5E931168" w14:textId="77777777" w:rsidR="00DD1228" w:rsidRPr="009B1FD4" w:rsidRDefault="00DD1228" w:rsidP="00DD1228">
      <w:pPr>
        <w:jc w:val="both"/>
        <w:rPr>
          <w:rFonts w:ascii="Arial" w:hAnsi="Arial" w:cs="Arial"/>
          <w:sz w:val="22"/>
          <w:szCs w:val="22"/>
          <w:lang w:val="sr-Cyrl-CS"/>
        </w:rPr>
      </w:pPr>
    </w:p>
    <w:p w14:paraId="4B0F9C3F" w14:textId="77777777" w:rsidR="00DD1228" w:rsidRPr="009B1FD4" w:rsidRDefault="00DD1228" w:rsidP="00DD1228">
      <w:pPr>
        <w:spacing w:before="120"/>
        <w:jc w:val="both"/>
        <w:rPr>
          <w:sz w:val="22"/>
          <w:szCs w:val="22"/>
          <w:lang w:val="ru-RU"/>
        </w:rPr>
      </w:pPr>
    </w:p>
    <w:p w14:paraId="30E9F215" w14:textId="77777777" w:rsidR="005A141D" w:rsidRPr="009B1FD4" w:rsidRDefault="005A141D">
      <w:pPr>
        <w:rPr>
          <w:sz w:val="22"/>
          <w:szCs w:val="22"/>
        </w:rPr>
      </w:pPr>
    </w:p>
    <w:sectPr w:rsidR="005A141D" w:rsidRPr="009B1FD4" w:rsidSect="007321D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3445B5"/>
    <w:multiLevelType w:val="hybridMultilevel"/>
    <w:tmpl w:val="48A2CBD6"/>
    <w:lvl w:ilvl="0" w:tplc="5BE6E49E">
      <w:start w:val="2"/>
      <w:numFmt w:val="bullet"/>
      <w:lvlText w:val="-"/>
      <w:lvlJc w:val="left"/>
      <w:pPr>
        <w:ind w:left="720" w:hanging="360"/>
      </w:pPr>
      <w:rPr>
        <w:rFonts w:ascii="Times New Roman" w:eastAsia="SimSu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2A9359C"/>
    <w:multiLevelType w:val="hybridMultilevel"/>
    <w:tmpl w:val="DADEF10A"/>
    <w:lvl w:ilvl="0" w:tplc="07188ABA">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331C7D57"/>
    <w:multiLevelType w:val="hybridMultilevel"/>
    <w:tmpl w:val="ED965BA4"/>
    <w:lvl w:ilvl="0" w:tplc="3F3065BA">
      <w:numFmt w:val="bullet"/>
      <w:lvlText w:val="-"/>
      <w:lvlJc w:val="left"/>
      <w:pPr>
        <w:tabs>
          <w:tab w:val="num" w:pos="720"/>
        </w:tabs>
        <w:ind w:left="720" w:hanging="360"/>
      </w:pPr>
      <w:rPr>
        <w:rFonts w:ascii="Times New Roman" w:eastAsia="Times New Roman" w:hAnsi="Times New Roman" w:cs="Times New Roman" w:hint="default"/>
      </w:rPr>
    </w:lvl>
    <w:lvl w:ilvl="1" w:tplc="3F3065B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2BD1F44"/>
    <w:multiLevelType w:val="hybridMultilevel"/>
    <w:tmpl w:val="5B2E6C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C296BDA"/>
    <w:multiLevelType w:val="hybridMultilevel"/>
    <w:tmpl w:val="62A01C48"/>
    <w:lvl w:ilvl="0" w:tplc="241A000F">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6A754E67"/>
    <w:multiLevelType w:val="hybridMultilevel"/>
    <w:tmpl w:val="F6E2DE0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79E75400"/>
    <w:multiLevelType w:val="hybridMultilevel"/>
    <w:tmpl w:val="3A2E88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4"/>
  </w:num>
  <w:num w:numId="7">
    <w:abstractNumId w:val="0"/>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28"/>
    <w:rsid w:val="00007A22"/>
    <w:rsid w:val="000142F7"/>
    <w:rsid w:val="000239EB"/>
    <w:rsid w:val="00024C63"/>
    <w:rsid w:val="0008314C"/>
    <w:rsid w:val="00154559"/>
    <w:rsid w:val="0017629F"/>
    <w:rsid w:val="001E50AF"/>
    <w:rsid w:val="001F7BCA"/>
    <w:rsid w:val="0021226D"/>
    <w:rsid w:val="00221394"/>
    <w:rsid w:val="00227FA7"/>
    <w:rsid w:val="002463F5"/>
    <w:rsid w:val="002743E5"/>
    <w:rsid w:val="002A2C8E"/>
    <w:rsid w:val="002E6106"/>
    <w:rsid w:val="0034428F"/>
    <w:rsid w:val="0035490C"/>
    <w:rsid w:val="00354D2B"/>
    <w:rsid w:val="00360D76"/>
    <w:rsid w:val="0037756D"/>
    <w:rsid w:val="003C5CCF"/>
    <w:rsid w:val="004245AF"/>
    <w:rsid w:val="00440493"/>
    <w:rsid w:val="00471B0A"/>
    <w:rsid w:val="00496B4F"/>
    <w:rsid w:val="004B69AD"/>
    <w:rsid w:val="004C4069"/>
    <w:rsid w:val="00553137"/>
    <w:rsid w:val="00581B0A"/>
    <w:rsid w:val="005A141D"/>
    <w:rsid w:val="00631290"/>
    <w:rsid w:val="00634BBE"/>
    <w:rsid w:val="00642E69"/>
    <w:rsid w:val="00653936"/>
    <w:rsid w:val="006E37B9"/>
    <w:rsid w:val="007200CB"/>
    <w:rsid w:val="007321DE"/>
    <w:rsid w:val="0073406E"/>
    <w:rsid w:val="007475AB"/>
    <w:rsid w:val="00786686"/>
    <w:rsid w:val="007A263C"/>
    <w:rsid w:val="00865F49"/>
    <w:rsid w:val="008A6FB0"/>
    <w:rsid w:val="008B530B"/>
    <w:rsid w:val="008C5330"/>
    <w:rsid w:val="008D02F7"/>
    <w:rsid w:val="0090621E"/>
    <w:rsid w:val="009157D0"/>
    <w:rsid w:val="009258A8"/>
    <w:rsid w:val="00946A98"/>
    <w:rsid w:val="009766BE"/>
    <w:rsid w:val="00987DDD"/>
    <w:rsid w:val="009B1FD4"/>
    <w:rsid w:val="009B7C32"/>
    <w:rsid w:val="009F45A2"/>
    <w:rsid w:val="00A0171F"/>
    <w:rsid w:val="00A20DAF"/>
    <w:rsid w:val="00A863D0"/>
    <w:rsid w:val="00AA12B9"/>
    <w:rsid w:val="00AB020B"/>
    <w:rsid w:val="00AD0952"/>
    <w:rsid w:val="00AD1DF9"/>
    <w:rsid w:val="00AD4C8C"/>
    <w:rsid w:val="00AD73C8"/>
    <w:rsid w:val="00B46CD9"/>
    <w:rsid w:val="00B47CCF"/>
    <w:rsid w:val="00BD35D9"/>
    <w:rsid w:val="00BF1625"/>
    <w:rsid w:val="00C500D0"/>
    <w:rsid w:val="00C83B79"/>
    <w:rsid w:val="00CA3F31"/>
    <w:rsid w:val="00CD0651"/>
    <w:rsid w:val="00CE443D"/>
    <w:rsid w:val="00CF11EA"/>
    <w:rsid w:val="00D455BB"/>
    <w:rsid w:val="00DA3FF8"/>
    <w:rsid w:val="00DD1228"/>
    <w:rsid w:val="00E07451"/>
    <w:rsid w:val="00E207AD"/>
    <w:rsid w:val="00E4290F"/>
    <w:rsid w:val="00E5017F"/>
    <w:rsid w:val="00E655DF"/>
    <w:rsid w:val="00E65D7E"/>
    <w:rsid w:val="00E74681"/>
    <w:rsid w:val="00EC1191"/>
    <w:rsid w:val="00EF0080"/>
    <w:rsid w:val="00EF664F"/>
    <w:rsid w:val="00F162E5"/>
    <w:rsid w:val="00F73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69D2"/>
  <w15:docId w15:val="{4A9B8680-4519-4778-8046-664703B7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1228"/>
    <w:pPr>
      <w:ind w:left="720"/>
      <w:contextualSpacing/>
    </w:pPr>
    <w:rPr>
      <w:sz w:val="20"/>
      <w:szCs w:val="20"/>
    </w:rPr>
  </w:style>
  <w:style w:type="paragraph" w:styleId="BalloonText">
    <w:name w:val="Balloon Text"/>
    <w:basedOn w:val="Normal"/>
    <w:link w:val="BalloonTextChar"/>
    <w:uiPriority w:val="99"/>
    <w:semiHidden/>
    <w:unhideWhenUsed/>
    <w:rsid w:val="00EF0080"/>
    <w:rPr>
      <w:rFonts w:ascii="Tahoma" w:hAnsi="Tahoma" w:cs="Tahoma"/>
      <w:sz w:val="16"/>
      <w:szCs w:val="16"/>
    </w:rPr>
  </w:style>
  <w:style w:type="character" w:customStyle="1" w:styleId="BalloonTextChar">
    <w:name w:val="Balloon Text Char"/>
    <w:basedOn w:val="DefaultParagraphFont"/>
    <w:link w:val="BalloonText"/>
    <w:uiPriority w:val="99"/>
    <w:semiHidden/>
    <w:rsid w:val="00EF0080"/>
    <w:rPr>
      <w:rFonts w:ascii="Tahoma" w:eastAsia="Times New Roman" w:hAnsi="Tahoma" w:cs="Tahoma"/>
      <w:sz w:val="16"/>
      <w:szCs w:val="16"/>
    </w:rPr>
  </w:style>
  <w:style w:type="paragraph" w:styleId="BodyText">
    <w:name w:val="Body Text"/>
    <w:basedOn w:val="Normal"/>
    <w:link w:val="BodyTextChar"/>
    <w:semiHidden/>
    <w:unhideWhenUsed/>
    <w:rsid w:val="008D02F7"/>
    <w:pPr>
      <w:widowControl w:val="0"/>
      <w:suppressAutoHyphens/>
      <w:spacing w:after="120"/>
    </w:pPr>
    <w:rPr>
      <w:rFonts w:eastAsia="SimSun" w:cs="Mangal"/>
      <w:kern w:val="2"/>
      <w:lang w:eastAsia="hi-IN" w:bidi="hi-IN"/>
    </w:rPr>
  </w:style>
  <w:style w:type="character" w:customStyle="1" w:styleId="BodyTextChar">
    <w:name w:val="Body Text Char"/>
    <w:basedOn w:val="DefaultParagraphFont"/>
    <w:link w:val="BodyText"/>
    <w:semiHidden/>
    <w:rsid w:val="008D02F7"/>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58498-03BE-49C5-BCC2-B748AD8F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1529</Words>
  <Characters>8718</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bmatijevic</dc:creator>
  <cp:lastModifiedBy>vbiocanin</cp:lastModifiedBy>
  <cp:revision>39</cp:revision>
  <cp:lastPrinted>2020-10-16T08:10:00Z</cp:lastPrinted>
  <dcterms:created xsi:type="dcterms:W3CDTF">2020-08-08T12:12:00Z</dcterms:created>
  <dcterms:modified xsi:type="dcterms:W3CDTF">2020-10-23T11:20:00Z</dcterms:modified>
</cp:coreProperties>
</file>